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1AC63A9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96A49BB">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7137C6E9">
            <w:pPr>
              <w:pStyle w:val="4"/>
              <w:jc w:val="center"/>
              <w:rPr>
                <w:rFonts w:hint="default" w:ascii="微软雅黑" w:hAnsi="微软雅黑" w:eastAsia="微软雅黑"/>
                <w:b/>
                <w:color w:val="1F4E79"/>
                <w:sz w:val="32"/>
                <w:szCs w:val="30"/>
                <w:lang w:val="en-US" w:eastAsia="zh-CN"/>
              </w:rPr>
            </w:pPr>
            <w:r>
              <w:rPr>
                <w:rFonts w:hint="eastAsia" w:ascii="微软雅黑" w:hAnsi="微软雅黑"/>
                <w:b/>
                <w:color w:val="1F4E79"/>
                <w:sz w:val="32"/>
                <w:szCs w:val="30"/>
                <w:lang w:val="en-US" w:eastAsia="zh-CN"/>
              </w:rPr>
              <w:t>项目九  行为目的税计算与申报（一）</w:t>
            </w:r>
          </w:p>
        </w:tc>
      </w:tr>
      <w:tr w14:paraId="6DBC5A5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7C8AD995">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538634DB">
            <w:pPr>
              <w:pStyle w:val="4"/>
              <w:ind w:firstLine="180" w:firstLineChars="100"/>
            </w:pPr>
            <w:r>
              <w:t>2课时</w:t>
            </w:r>
            <w:r>
              <w:rPr>
                <w:rFonts w:hint="eastAsia"/>
              </w:rPr>
              <w:t>（</w:t>
            </w:r>
            <w:r>
              <w:t>90</w:t>
            </w:r>
            <w:r>
              <w:rPr>
                <w:rFonts w:hint="eastAsia"/>
              </w:rPr>
              <w:t xml:space="preserve"> min）</w:t>
            </w:r>
          </w:p>
        </w:tc>
      </w:tr>
      <w:tr w14:paraId="1C0DED1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ABC1272">
            <w:pPr>
              <w:pStyle w:val="4"/>
              <w:jc w:val="center"/>
            </w:pPr>
            <w:r>
              <w:rPr>
                <w:rFonts w:ascii="微软雅黑" w:hAnsi="微软雅黑"/>
                <w:b/>
              </w:rPr>
              <w:t>教学目标</w:t>
            </w:r>
          </w:p>
        </w:tc>
        <w:tc>
          <w:tcPr>
            <w:tcW w:w="8347" w:type="dxa"/>
            <w:shd w:val="clear" w:color="auto" w:fill="FFFFFF"/>
            <w:vAlign w:val="center"/>
          </w:tcPr>
          <w:p w14:paraId="19DC6EFB">
            <w:pPr>
              <w:pStyle w:val="4"/>
              <w:ind w:firstLine="180" w:firstLineChars="100"/>
              <w:rPr>
                <w:rFonts w:ascii="微软雅黑" w:hAnsi="微软雅黑"/>
                <w:b/>
                <w:color w:val="833C0B"/>
              </w:rPr>
            </w:pPr>
            <w:r>
              <w:rPr>
                <w:rFonts w:hint="eastAsia" w:ascii="微软雅黑" w:hAnsi="微软雅黑"/>
                <w:b/>
                <w:color w:val="833C0B"/>
              </w:rPr>
              <w:t>知识技能目标：</w:t>
            </w:r>
          </w:p>
          <w:p w14:paraId="04ACAB24">
            <w:pPr>
              <w:pStyle w:val="4"/>
              <w:ind w:firstLine="360" w:firstLineChars="200"/>
            </w:pPr>
            <w:r>
              <w:rPr>
                <w:rFonts w:hint="eastAsia"/>
              </w:rPr>
              <w:t>（</w:t>
            </w:r>
            <w:r>
              <w:rPr>
                <w:rFonts w:hint="eastAsia"/>
                <w:lang w:val="en-US" w:eastAsia="zh-CN"/>
              </w:rPr>
              <w:t>1</w:t>
            </w:r>
            <w:r>
              <w:rPr>
                <w:rFonts w:hint="eastAsia"/>
              </w:rPr>
              <w:t>）掌握城市维护建设税、教育费附加及地方教育附加的</w:t>
            </w:r>
            <w:r>
              <w:rPr>
                <w:rFonts w:hint="eastAsia"/>
                <w:lang w:val="en-US" w:eastAsia="zh-CN"/>
              </w:rPr>
              <w:t>纳税义务人、征税对象、税率</w:t>
            </w:r>
            <w:r>
              <w:rPr>
                <w:rFonts w:hint="eastAsia"/>
              </w:rPr>
              <w:t>。</w:t>
            </w:r>
          </w:p>
          <w:p w14:paraId="73A70B19">
            <w:pPr>
              <w:pStyle w:val="4"/>
              <w:ind w:firstLine="360" w:firstLineChars="200"/>
            </w:pPr>
            <w:r>
              <w:rPr>
                <w:rFonts w:hint="eastAsia"/>
              </w:rPr>
              <w:t>（</w:t>
            </w:r>
            <w:r>
              <w:rPr>
                <w:rFonts w:hint="eastAsia"/>
                <w:lang w:val="en-US" w:eastAsia="zh-CN"/>
              </w:rPr>
              <w:t>2</w:t>
            </w:r>
            <w:r>
              <w:rPr>
                <w:rFonts w:hint="eastAsia"/>
              </w:rPr>
              <w:t>）掌握城市维护建设税、教育费附加及地方教育附加应纳税额的计算方法。</w:t>
            </w:r>
          </w:p>
          <w:p w14:paraId="155DFC83">
            <w:pPr>
              <w:pStyle w:val="4"/>
              <w:ind w:firstLine="360" w:firstLineChars="200"/>
            </w:pPr>
            <w:r>
              <w:t>（</w:t>
            </w:r>
            <w:r>
              <w:rPr>
                <w:rFonts w:hint="eastAsia"/>
                <w:lang w:val="en-US" w:eastAsia="zh-CN"/>
              </w:rPr>
              <w:t>3</w:t>
            </w:r>
            <w:r>
              <w:rPr>
                <w:rFonts w:hint="eastAsia"/>
              </w:rPr>
              <w:t>）掌握附加税费的纳税申报。</w:t>
            </w:r>
          </w:p>
          <w:p w14:paraId="6D49C2E9">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589D01A3">
            <w:pPr>
              <w:pStyle w:val="4"/>
              <w:ind w:firstLine="360" w:firstLineChars="200"/>
              <w:rPr>
                <w:rFonts w:hint="eastAsia"/>
              </w:rPr>
            </w:pPr>
            <w:r>
              <w:rPr>
                <w:rFonts w:hint="eastAsia"/>
                <w:lang w:eastAsia="zh-CN"/>
              </w:rPr>
              <w:t>（</w:t>
            </w:r>
            <w:r>
              <w:rPr>
                <w:rFonts w:hint="eastAsia"/>
                <w:lang w:val="en-US" w:eastAsia="zh-CN"/>
              </w:rPr>
              <w:t>1</w:t>
            </w:r>
            <w:r>
              <w:rPr>
                <w:rFonts w:hint="eastAsia"/>
                <w:lang w:eastAsia="zh-CN"/>
              </w:rPr>
              <w:t>）</w:t>
            </w:r>
            <w:r>
              <w:rPr>
                <w:rFonts w:hint="eastAsia"/>
              </w:rPr>
              <w:t>培养学生关注税法变化，关注经济民生，维护国家利益的意识。</w:t>
            </w:r>
            <w:r>
              <w:rPr>
                <w:rFonts w:hint="eastAsia"/>
                <w:lang w:eastAsia="zh-CN"/>
              </w:rPr>
              <w:t>（</w:t>
            </w:r>
            <w:r>
              <w:rPr>
                <w:rFonts w:hint="eastAsia"/>
                <w:lang w:val="en-US" w:eastAsia="zh-CN"/>
              </w:rPr>
              <w:t>2</w:t>
            </w:r>
            <w:r>
              <w:rPr>
                <w:rFonts w:hint="eastAsia"/>
                <w:lang w:eastAsia="zh-CN"/>
              </w:rPr>
              <w:t>）</w:t>
            </w:r>
            <w:r>
              <w:rPr>
                <w:rFonts w:hint="eastAsia"/>
              </w:rPr>
              <w:t>培养学生的敬业精神、良好的社会沟通协调能力、团队合作能力。</w:t>
            </w:r>
            <w:r>
              <w:rPr>
                <w:rFonts w:hint="eastAsia"/>
                <w:lang w:eastAsia="zh-CN"/>
              </w:rPr>
              <w:t>（</w:t>
            </w:r>
            <w:r>
              <w:rPr>
                <w:rFonts w:hint="eastAsia"/>
                <w:lang w:val="en-US" w:eastAsia="zh-CN"/>
              </w:rPr>
              <w:t>2</w:t>
            </w:r>
            <w:r>
              <w:rPr>
                <w:rFonts w:hint="eastAsia"/>
                <w:lang w:eastAsia="zh-CN"/>
              </w:rPr>
              <w:t>）</w:t>
            </w:r>
            <w:r>
              <w:rPr>
                <w:rFonts w:hint="eastAsia"/>
              </w:rPr>
              <w:t>培养学生树立终身学习的理念。</w:t>
            </w:r>
          </w:p>
          <w:p w14:paraId="508574B0">
            <w:pPr>
              <w:pStyle w:val="4"/>
              <w:ind w:firstLine="360" w:firstLineChars="200"/>
            </w:pPr>
          </w:p>
        </w:tc>
      </w:tr>
      <w:tr w14:paraId="46FEA10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2A327D80">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138E818D">
            <w:pPr>
              <w:pStyle w:val="4"/>
              <w:ind w:firstLine="180" w:firstLineChars="100"/>
              <w:rPr>
                <w:rFonts w:hint="eastAsia"/>
              </w:rPr>
            </w:pPr>
            <w:r>
              <w:rPr>
                <w:rFonts w:hint="eastAsia" w:ascii="微软雅黑" w:hAnsi="微软雅黑"/>
                <w:b/>
                <w:color w:val="1F4E79"/>
              </w:rPr>
              <w:t>教学重点：</w:t>
            </w:r>
            <w:r>
              <w:rPr>
                <w:rFonts w:hint="eastAsia"/>
              </w:rPr>
              <w:t>城市维护建设税、教育费附加及地方教育附加应纳税额</w:t>
            </w:r>
            <w:r>
              <w:t>的计算和申报</w:t>
            </w:r>
          </w:p>
          <w:p w14:paraId="30A2BA4E">
            <w:pPr>
              <w:pStyle w:val="4"/>
              <w:ind w:firstLine="180" w:firstLineChars="100"/>
              <w:rPr>
                <w:rFonts w:hint="default" w:eastAsia="微软雅黑"/>
                <w:lang w:val="en-US" w:eastAsia="zh-CN"/>
              </w:rPr>
            </w:pPr>
            <w:r>
              <w:rPr>
                <w:rFonts w:hint="eastAsia" w:ascii="微软雅黑" w:hAnsi="微软雅黑"/>
                <w:b/>
                <w:color w:val="1F4E79"/>
              </w:rPr>
              <w:t>教学难点：</w:t>
            </w:r>
            <w:r>
              <w:rPr>
                <w:rFonts w:hint="eastAsia"/>
              </w:rPr>
              <w:t>城市维护建设税、教育费附加及地方教育附加应纳税额</w:t>
            </w:r>
            <w:r>
              <w:rPr>
                <w:rFonts w:hint="eastAsia"/>
                <w:lang w:val="en-US" w:eastAsia="zh-CN"/>
              </w:rPr>
              <w:t>的计算</w:t>
            </w:r>
          </w:p>
        </w:tc>
      </w:tr>
      <w:tr w14:paraId="4551CDC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B8F0CD6">
            <w:pPr>
              <w:pStyle w:val="4"/>
              <w:jc w:val="center"/>
            </w:pPr>
            <w:r>
              <w:rPr>
                <w:rFonts w:ascii="微软雅黑" w:hAnsi="微软雅黑"/>
                <w:b/>
              </w:rPr>
              <w:t>教学方法</w:t>
            </w:r>
          </w:p>
        </w:tc>
        <w:tc>
          <w:tcPr>
            <w:tcW w:w="8347" w:type="dxa"/>
            <w:shd w:val="clear" w:color="auto" w:fill="FFFFFF"/>
            <w:vAlign w:val="center"/>
          </w:tcPr>
          <w:p w14:paraId="499CEBFD">
            <w:pPr>
              <w:pStyle w:val="4"/>
              <w:ind w:firstLine="180" w:firstLineChars="100"/>
            </w:pPr>
            <w:r>
              <w:rPr>
                <w:rFonts w:hint="eastAsia"/>
              </w:rPr>
              <w:t>案例分析法、问答法、讨论法、讲授法</w:t>
            </w:r>
          </w:p>
        </w:tc>
      </w:tr>
      <w:tr w14:paraId="46746B8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F20D51C">
            <w:pPr>
              <w:pStyle w:val="4"/>
              <w:jc w:val="center"/>
            </w:pPr>
            <w:r>
              <w:rPr>
                <w:rFonts w:ascii="微软雅黑" w:hAnsi="微软雅黑"/>
                <w:b/>
              </w:rPr>
              <w:t>教学用具</w:t>
            </w:r>
          </w:p>
        </w:tc>
        <w:tc>
          <w:tcPr>
            <w:tcW w:w="8347" w:type="dxa"/>
            <w:shd w:val="clear" w:color="auto" w:fill="FFFFFF"/>
            <w:vAlign w:val="center"/>
          </w:tcPr>
          <w:p w14:paraId="40A2CB90">
            <w:pPr>
              <w:pStyle w:val="4"/>
              <w:ind w:firstLine="180" w:firstLineChars="100"/>
            </w:pPr>
            <w:r>
              <w:rPr>
                <w:rFonts w:hint="eastAsia"/>
              </w:rPr>
              <w:t>电脑、投影仪、</w:t>
            </w:r>
            <w:r>
              <w:t>多媒体</w:t>
            </w:r>
            <w:r>
              <w:rPr>
                <w:rFonts w:hint="eastAsia"/>
              </w:rPr>
              <w:t>课件、教材</w:t>
            </w:r>
          </w:p>
        </w:tc>
      </w:tr>
      <w:tr w14:paraId="4756049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762A496">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01F652E7">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52903B3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15231CD">
            <w:pPr>
              <w:pStyle w:val="4"/>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2BB1B7D8">
            <w:pPr>
              <w:pStyle w:val="4"/>
              <w:ind w:left="200" w:leftChars="100"/>
              <w:rPr>
                <w:rFonts w:ascii="微软雅黑" w:hAnsi="微软雅黑"/>
                <w:b/>
                <w:color w:val="1F4E79"/>
              </w:rPr>
            </w:pPr>
            <w:r>
              <w:rPr>
                <w:rFonts w:hint="eastAsia" w:ascii="微软雅黑" w:hAnsi="微软雅黑"/>
                <w:b/>
                <w:color w:val="1F4E79"/>
              </w:rPr>
              <w:t>【教师】提出以下问题：</w:t>
            </w:r>
          </w:p>
          <w:p w14:paraId="21D00A5F">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rPr>
              <w:t>对缴纳增值税、消费税的单位和个人，以其实际缴纳的税额为计算依据征收的一种附加费是什么税？</w:t>
            </w:r>
          </w:p>
          <w:p w14:paraId="69F0D845">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04164BE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55139EC3">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67351D49">
            <w:pPr>
              <w:pStyle w:val="4"/>
              <w:ind w:firstLine="180" w:firstLineChars="100"/>
              <w:rPr>
                <w:b/>
                <w:lang w:bidi="ar"/>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p>
          <w:p w14:paraId="71B80EEB">
            <w:pPr>
              <w:pStyle w:val="4"/>
              <w:ind w:firstLine="360" w:firstLineChars="200"/>
              <w:jc w:val="center"/>
              <w:rPr>
                <w:rFonts w:hint="eastAsia"/>
                <w:b/>
                <w:lang w:bidi="ar"/>
              </w:rPr>
            </w:pPr>
            <w:r>
              <w:rPr>
                <w:rFonts w:hint="eastAsia"/>
                <w:b/>
                <w:lang w:val="en-US" w:eastAsia="zh-CN" w:bidi="ar"/>
              </w:rPr>
              <w:t xml:space="preserve">任务一  </w:t>
            </w:r>
            <w:r>
              <w:rPr>
                <w:rFonts w:hint="eastAsia"/>
                <w:b/>
                <w:lang w:bidi="ar"/>
              </w:rPr>
              <w:t>城市维护建设税</w:t>
            </w:r>
          </w:p>
          <w:p w14:paraId="60601A7B">
            <w:pPr>
              <w:pStyle w:val="4"/>
              <w:ind w:firstLine="360" w:firstLineChars="200"/>
              <w:jc w:val="left"/>
              <w:rPr>
                <w:rFonts w:hint="default" w:eastAsia="微软雅黑"/>
                <w:b/>
                <w:lang w:val="en-US" w:eastAsia="zh-CN" w:bidi="ar"/>
              </w:rPr>
            </w:pPr>
            <w:r>
              <w:rPr>
                <w:rFonts w:hint="eastAsia"/>
                <w:b/>
                <w:lang w:val="en-US" w:eastAsia="zh-CN" w:bidi="ar"/>
              </w:rPr>
              <w:t>一、城市维护建设税解读</w:t>
            </w:r>
          </w:p>
          <w:p w14:paraId="290C6F1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【教师】讲解什么是城市维护建设税</w:t>
            </w:r>
          </w:p>
          <w:p w14:paraId="5535F431">
            <w:pPr>
              <w:pStyle w:val="4"/>
              <w:ind w:firstLine="360" w:firstLineChars="200"/>
              <w:rPr>
                <w:lang w:bidi="ar"/>
              </w:rPr>
            </w:pPr>
            <w:r>
              <w:rPr>
                <w:rFonts w:hint="eastAsia"/>
                <w:lang w:bidi="ar"/>
              </w:rPr>
              <w:t>城市维护建设税是以纳税人实际缴纳的增值税、消费税（以下简称“两税”）的税额为计税依据而征收的一种税。征收城市维护建设税的主要目的是筹集城镇设施建设和维护的资金。</w:t>
            </w:r>
          </w:p>
          <w:p w14:paraId="5FE0AB51">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46AFBB46">
            <w:pPr>
              <w:shd w:val="clear" w:color="auto" w:fill="FDF3ED"/>
              <w:ind w:firstLine="361" w:firstLineChars="200"/>
              <w:rPr>
                <w:rFonts w:ascii="MS Gothic" w:hAnsi="MS Gothic" w:cs="MS Gothic" w:eastAsiaTheme="minorEastAsia"/>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w:t>
            </w:r>
            <w:r>
              <w:rPr>
                <w:rFonts w:hint="eastAsia" w:ascii="微软雅黑" w:hAnsi="微软雅黑" w:eastAsia="微软雅黑" w:cs="MS Mincho"/>
                <w:b/>
                <w:sz w:val="18"/>
                <w:szCs w:val="18"/>
              </w:rPr>
              <w:t>城市维护建设税的特点</w:t>
            </w:r>
            <w:r>
              <w:rPr>
                <w:rFonts w:ascii="微软雅黑" w:hAnsi="微软雅黑" w:eastAsia="微软雅黑" w:cs="MS Mincho"/>
                <w:b/>
                <w:sz w:val="18"/>
                <w:szCs w:val="18"/>
              </w:rPr>
              <w:t>”</w:t>
            </w:r>
            <w:r>
              <w:rPr>
                <w:rFonts w:hint="eastAsia" w:ascii="微软雅黑" w:hAnsi="微软雅黑" w:eastAsia="微软雅黑" w:cs="MS Mincho"/>
                <w:b/>
                <w:sz w:val="18"/>
                <w:szCs w:val="18"/>
              </w:rPr>
              <w:t>视频（详见教材），加深学生对城市维护建设税的理解</w:t>
            </w:r>
          </w:p>
          <w:p w14:paraId="012DE2ED">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0EB7BB83">
            <w:pPr>
              <w:spacing w:before="20" w:after="20" w:line="240" w:lineRule="auto"/>
              <w:ind w:left="360"/>
              <w:rPr>
                <w:rFonts w:ascii="Times New Roman" w:hAnsi="Times New Roman" w:eastAsia="微软雅黑"/>
                <w:b/>
                <w:sz w:val="18"/>
                <w:lang w:bidi="ar"/>
              </w:rPr>
            </w:pPr>
            <w:r>
              <w:rPr>
                <w:rFonts w:hint="eastAsia" w:ascii="Times New Roman" w:hAnsi="Times New Roman" w:eastAsia="微软雅黑"/>
                <w:b/>
                <w:sz w:val="18"/>
                <w:lang w:bidi="ar"/>
              </w:rPr>
              <w:t>（一）征税范围</w:t>
            </w:r>
          </w:p>
          <w:p w14:paraId="689134A1">
            <w:pPr>
              <w:shd w:val="clear" w:color="auto" w:fill="FDF3ED"/>
              <w:ind w:firstLine="361" w:firstLineChars="200"/>
              <w:rPr>
                <w:rFonts w:ascii="Times New Roman" w:hAnsi="Times New Roman" w:eastAsia="微软雅黑"/>
                <w:sz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【教师】讲解城市维护建设税的征税范围</w:t>
            </w:r>
          </w:p>
          <w:p w14:paraId="5696B1C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城市维护建设税的征税范围较广，具体包括城市、县城、建制镇，以及税法规定的其他地方。</w:t>
            </w:r>
          </w:p>
          <w:p w14:paraId="0324F841">
            <w:pPr>
              <w:spacing w:after="0" w:line="240" w:lineRule="auto"/>
              <w:ind w:firstLine="360" w:firstLineChars="200"/>
              <w:rPr>
                <w:rFonts w:hint="eastAsia" w:ascii="Times New Roman" w:hAnsi="Times New Roman" w:eastAsia="微软雅黑"/>
                <w:sz w:val="18"/>
              </w:rPr>
            </w:pPr>
            <w:r>
              <w:rPr>
                <w:rFonts w:hint="eastAsia" w:ascii="Times New Roman" w:hAnsi="Times New Roman" w:eastAsia="微软雅黑"/>
                <w:sz w:val="18"/>
              </w:rPr>
              <w:t>对进口货物或境外单位和个人向境内销售劳务、服务、无形资产缴纳的两税税额，不征收城市维护建设税。</w:t>
            </w:r>
          </w:p>
          <w:p w14:paraId="6ED1B943">
            <w:pPr>
              <w:numPr>
                <w:ilvl w:val="0"/>
                <w:numId w:val="1"/>
              </w:numPr>
              <w:spacing w:before="20" w:after="20" w:line="240" w:lineRule="auto"/>
              <w:ind w:left="360"/>
              <w:rPr>
                <w:rFonts w:hint="eastAsia" w:ascii="Times New Roman" w:hAnsi="Times New Roman" w:eastAsia="微软雅黑"/>
                <w:b/>
                <w:sz w:val="18"/>
                <w:lang w:bidi="ar"/>
              </w:rPr>
            </w:pPr>
            <w:r>
              <w:rPr>
                <w:rFonts w:hint="eastAsia" w:ascii="Times New Roman" w:hAnsi="Times New Roman" w:eastAsia="微软雅黑"/>
                <w:b/>
                <w:sz w:val="18"/>
                <w:lang w:bidi="ar"/>
              </w:rPr>
              <w:t>纳税人</w:t>
            </w:r>
          </w:p>
          <w:p w14:paraId="546CDA28">
            <w:pPr>
              <w:shd w:val="clear" w:color="auto" w:fill="FDF3ED"/>
              <w:ind w:firstLine="361" w:firstLineChars="200"/>
              <w:rPr>
                <w:rFonts w:ascii="Times New Roman" w:hAnsi="Times New Roman" w:eastAsia="微软雅黑"/>
                <w:sz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【教师】讲解城市维护建设税的纳税人</w:t>
            </w:r>
          </w:p>
          <w:p w14:paraId="005652D5">
            <w:pPr>
              <w:numPr>
                <w:ilvl w:val="0"/>
                <w:numId w:val="0"/>
              </w:numPr>
              <w:spacing w:before="20" w:after="20" w:line="240" w:lineRule="auto"/>
              <w:rPr>
                <w:rFonts w:hint="eastAsia" w:ascii="Times New Roman" w:hAnsi="Times New Roman" w:eastAsia="微软雅黑"/>
                <w:b/>
                <w:sz w:val="18"/>
                <w:lang w:bidi="ar"/>
              </w:rPr>
            </w:pPr>
          </w:p>
          <w:p w14:paraId="35CE68DF">
            <w:pPr>
              <w:numPr>
                <w:ilvl w:val="0"/>
                <w:numId w:val="0"/>
              </w:numPr>
              <w:spacing w:before="20" w:after="20" w:line="240" w:lineRule="auto"/>
              <w:ind w:firstLine="360" w:firstLineChars="200"/>
              <w:rPr>
                <w:rFonts w:hint="eastAsia" w:ascii="Times New Roman" w:hAnsi="Times New Roman" w:eastAsia="微软雅黑"/>
                <w:b/>
                <w:sz w:val="18"/>
                <w:lang w:bidi="ar"/>
              </w:rPr>
            </w:pPr>
            <w:r>
              <w:rPr>
                <w:rFonts w:hint="eastAsia" w:ascii="Times New Roman" w:hAnsi="Times New Roman" w:eastAsia="微软雅黑"/>
                <w:sz w:val="18"/>
              </w:rPr>
              <w:t>在中华人民共和国境内缴纳增值税、消费税的单位和个人，为城市维护建设税的纳税人。城市维护建设税的扣缴义务人为负有增值税、消费税扣缴义务的单位和个人。</w:t>
            </w:r>
          </w:p>
          <w:p w14:paraId="6F13C3CD">
            <w:pPr>
              <w:spacing w:after="0" w:line="240" w:lineRule="auto"/>
              <w:ind w:firstLine="360" w:firstLineChars="200"/>
              <w:rPr>
                <w:rFonts w:hint="eastAsia" w:ascii="Times New Roman" w:hAnsi="Times New Roman" w:eastAsia="微软雅黑"/>
                <w:sz w:val="18"/>
              </w:rPr>
            </w:pPr>
          </w:p>
          <w:p w14:paraId="6076BA6A">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w:t>
            </w:r>
            <w:r>
              <w:rPr>
                <w:rFonts w:hint="eastAsia" w:ascii="Times New Roman" w:hAnsi="Times New Roman" w:eastAsia="微软雅黑"/>
                <w:b/>
                <w:sz w:val="18"/>
                <w:lang w:val="en-US" w:eastAsia="zh-CN"/>
              </w:rPr>
              <w:t>三</w:t>
            </w:r>
            <w:r>
              <w:rPr>
                <w:rFonts w:hint="eastAsia" w:ascii="Times New Roman" w:hAnsi="Times New Roman" w:eastAsia="微软雅黑"/>
                <w:b/>
                <w:sz w:val="18"/>
              </w:rPr>
              <w:t>）税率</w:t>
            </w:r>
          </w:p>
          <w:p w14:paraId="5C53DC4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【教师】讲解城市维护建设税的税率</w:t>
            </w:r>
          </w:p>
          <w:p w14:paraId="25AB528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城市维护建设税实行差别比例税率。按照纳税人所在地的不同，城市维护建设税税率共分为三档比例税率，具体如下所示。</w:t>
            </w:r>
          </w:p>
          <w:p w14:paraId="352B1B2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（1）纳税人所在地为市区的，税率为7%。</w:t>
            </w:r>
          </w:p>
          <w:p w14:paraId="737E323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（2）纳税人所在地为县城、镇的，税率为5%。</w:t>
            </w:r>
          </w:p>
          <w:p w14:paraId="00EC519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（3）纳税人所在地不在市区、县城或者镇的，税率为1%。</w:t>
            </w:r>
          </w:p>
          <w:p w14:paraId="588C12AB">
            <w:pPr>
              <w:pStyle w:val="4"/>
              <w:shd w:val="clear" w:color="auto" w:fill="FDF3ED"/>
              <w:ind w:firstLine="360" w:firstLineChars="200"/>
              <w:rPr>
                <w:rFonts w:ascii="MS Mincho" w:hAnsi="MS Mincho" w:cs="MS Mincho"/>
                <w:b/>
              </w:rPr>
            </w:pPr>
            <w:r>
              <w:rPr>
                <w:rFonts w:hint="eastAsia"/>
                <w:b/>
              </w:rPr>
              <w:t>【课堂互动】</w:t>
            </w:r>
          </w:p>
          <w:p w14:paraId="2E4C669A">
            <w:pPr>
              <w:pStyle w:val="4"/>
              <w:shd w:val="clear" w:color="auto" w:fill="FDF3ED"/>
              <w:ind w:firstLine="360" w:firstLineChars="200"/>
              <w:rPr>
                <w:b/>
              </w:rPr>
            </w:pPr>
            <w:r>
              <w:rPr>
                <w:rFonts w:ascii="MS Mincho" w:hAnsi="MS Mincho" w:cs="MS Mincho"/>
                <w:b/>
              </w:rPr>
              <w:t>✈</w:t>
            </w:r>
            <w:r>
              <w:rPr>
                <w:rFonts w:hint="eastAsia"/>
                <w:b/>
              </w:rPr>
              <w:t>【教师】提出问题</w:t>
            </w:r>
          </w:p>
          <w:p w14:paraId="70F96712">
            <w:pPr>
              <w:pStyle w:val="4"/>
              <w:shd w:val="clear" w:color="auto" w:fill="FDF3ED"/>
              <w:ind w:firstLine="360" w:firstLineChars="200"/>
            </w:pPr>
            <w:r>
              <w:rPr>
                <w:rFonts w:hint="eastAsia"/>
              </w:rPr>
              <w:t>纳税人</w:t>
            </w:r>
            <w:r>
              <w:t>所在地是指什么？</w:t>
            </w:r>
          </w:p>
          <w:p w14:paraId="7AF4620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3ECE6A40">
            <w:pPr>
              <w:pStyle w:val="4"/>
              <w:shd w:val="clear" w:color="auto" w:fill="FDF3ED"/>
              <w:ind w:firstLine="360" w:firstLineChars="200"/>
              <w:rPr>
                <w:b/>
              </w:rPr>
            </w:pPr>
            <w:r>
              <w:rPr>
                <w:rFonts w:ascii="MS Mincho" w:hAnsi="MS Mincho" w:cs="MS Mincho"/>
                <w:b/>
              </w:rPr>
              <w:t>✈</w:t>
            </w:r>
            <w:r>
              <w:rPr>
                <w:rFonts w:hint="eastAsia"/>
                <w:b/>
              </w:rPr>
              <w:t>【教师】总结学生的回答</w:t>
            </w:r>
          </w:p>
          <w:p w14:paraId="77FCAFEF">
            <w:pPr>
              <w:pStyle w:val="4"/>
              <w:shd w:val="clear" w:color="auto" w:fill="FDF3ED"/>
              <w:ind w:firstLine="360" w:firstLineChars="200"/>
            </w:pPr>
            <w:r>
              <w:rPr>
                <w:rFonts w:hint="eastAsia"/>
              </w:rPr>
              <w:t>纳税人所在地是指纳税人住所地或者与纳税人生产经营活动相关的其他地点，具体地点由省、自治区、直辖市确定。</w:t>
            </w:r>
          </w:p>
          <w:p w14:paraId="2D17A263">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D62CAF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城市维护建设税的适用税率应当按纳税人所在地的规定税率执行。但是，对下列两种情况，纳税人可按照缴纳增值税、消费税所在地的规定税率就地缴纳城市维护建设税。</w:t>
            </w:r>
          </w:p>
          <w:p w14:paraId="1C23603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（1）由受托方代扣代缴、代收代缴两税的单位和个人，其由受托方代扣代缴、代收代缴的城市维护建设税按受托方所在地适用税率执行。</w:t>
            </w:r>
          </w:p>
          <w:p w14:paraId="1E5D55C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（2）流动经营等无固定纳税地点的单位和个人，在经营地缴纳两税的，其城市维护建设税的缴纳按经营地适用税率执行。</w:t>
            </w:r>
          </w:p>
          <w:p w14:paraId="703AADC5">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w:t>
            </w:r>
            <w:r>
              <w:rPr>
                <w:rFonts w:hint="eastAsia" w:ascii="Times New Roman" w:hAnsi="Times New Roman" w:eastAsia="微软雅黑"/>
                <w:b/>
                <w:sz w:val="18"/>
                <w:lang w:val="en-US" w:eastAsia="zh-CN"/>
              </w:rPr>
              <w:t>四</w:t>
            </w:r>
            <w:r>
              <w:rPr>
                <w:rFonts w:hint="eastAsia" w:ascii="Times New Roman" w:hAnsi="Times New Roman" w:eastAsia="微软雅黑"/>
                <w:b/>
                <w:sz w:val="18"/>
              </w:rPr>
              <w:t>）税收优惠</w:t>
            </w:r>
          </w:p>
          <w:p w14:paraId="467C783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【教师】讲解城市维护建设税的税收优惠</w:t>
            </w:r>
          </w:p>
          <w:p w14:paraId="5B41D3C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（1）对黄金交易所会员单位通过黄金交易所销售且发生实物交割（一种期货交割方式）的标准黄金，免征城市维护建设税。</w:t>
            </w:r>
          </w:p>
          <w:p w14:paraId="6F228AF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（2）对上海期货交易所会员和客户通过上海期货交易所销售且发生实物交割并已出库的标准黄金，免征城市维护建设税。</w:t>
            </w:r>
          </w:p>
          <w:p w14:paraId="4C0510B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（3）对国家重大水利工程建设基金，免征城市维护建设税。</w:t>
            </w:r>
          </w:p>
          <w:p w14:paraId="20B650D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（4）自2022年1月1日至2024年12月31日，对增值税小规模纳税人、小型微利企业和个体工商户可以在50%的税额幅度内减征城市维护建设税。</w:t>
            </w:r>
          </w:p>
          <w:p w14:paraId="265FFF9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（5）自2019年1月1日至2023年12月31日，对自主就业退役士兵从事个体经营的，减免城市维护建设税。</w:t>
            </w:r>
          </w:p>
          <w:p w14:paraId="5B869371">
            <w:pPr>
              <w:spacing w:after="0" w:line="240" w:lineRule="auto"/>
              <w:ind w:firstLine="360" w:firstLineChars="200"/>
              <w:rPr>
                <w:rFonts w:hint="eastAsia" w:ascii="Times New Roman" w:hAnsi="Times New Roman" w:eastAsia="微软雅黑"/>
                <w:sz w:val="18"/>
              </w:rPr>
            </w:pPr>
            <w:r>
              <w:rPr>
                <w:rFonts w:hint="eastAsia" w:ascii="Times New Roman" w:hAnsi="Times New Roman" w:eastAsia="微软雅黑"/>
                <w:sz w:val="18"/>
              </w:rPr>
              <w:t>（6）自2019年1月1日至2025年12月31日，对重点群体从事个体经营的，减免城市维护建设税。</w:t>
            </w:r>
          </w:p>
          <w:p w14:paraId="5E55018B">
            <w:pPr>
              <w:pStyle w:val="4"/>
              <w:ind w:firstLine="360" w:firstLineChars="200"/>
              <w:jc w:val="left"/>
              <w:rPr>
                <w:rFonts w:hint="eastAsia"/>
                <w:b/>
                <w:lang w:bidi="ar"/>
              </w:rPr>
            </w:pPr>
            <w:r>
              <w:rPr>
                <w:rFonts w:hint="eastAsia" w:ascii="Times New Roman" w:hAnsi="Times New Roman" w:eastAsia="微软雅黑"/>
                <w:sz w:val="18"/>
                <w:lang w:val="en-US" w:eastAsia="zh-CN"/>
              </w:rPr>
              <w:t>二、</w:t>
            </w:r>
            <w:r>
              <w:rPr>
                <w:rFonts w:hint="eastAsia" w:ascii="微软雅黑" w:hAnsi="微软雅黑" w:eastAsia="微软雅黑" w:cs="MS Mincho"/>
                <w:b/>
                <w:sz w:val="18"/>
                <w:szCs w:val="18"/>
              </w:rPr>
              <w:t>城市维护建设税</w:t>
            </w:r>
            <w:r>
              <w:rPr>
                <w:rFonts w:hint="eastAsia"/>
                <w:b/>
                <w:lang w:bidi="ar"/>
              </w:rPr>
              <w:t>应纳税额的计算</w:t>
            </w:r>
          </w:p>
          <w:p w14:paraId="41E1CEC7">
            <w:pPr>
              <w:pStyle w:val="4"/>
              <w:ind w:left="360"/>
              <w:rPr>
                <w:b/>
                <w:lang w:bidi="ar"/>
              </w:rPr>
            </w:pPr>
            <w:r>
              <w:rPr>
                <w:rFonts w:hint="eastAsia"/>
                <w:b/>
                <w:lang w:bidi="ar"/>
              </w:rPr>
              <w:t>（一）计税依据</w:t>
            </w:r>
          </w:p>
          <w:p w14:paraId="004FB11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【教师】讲解城市维护建设税的计税依据</w:t>
            </w:r>
          </w:p>
          <w:p w14:paraId="07C7270F">
            <w:pPr>
              <w:pStyle w:val="4"/>
              <w:ind w:firstLine="360" w:firstLineChars="200"/>
              <w:jc w:val="left"/>
              <w:rPr>
                <w:lang w:bidi="ar"/>
              </w:rPr>
            </w:pPr>
            <w:r>
              <w:rPr>
                <w:rFonts w:hint="eastAsia"/>
                <w:lang w:bidi="ar"/>
              </w:rPr>
              <w:t>城市维护建设税以纳税人依法实际缴纳的增值税税额和消费税税额为计税依据。其计算公式如下：</w:t>
            </w:r>
          </w:p>
          <w:p w14:paraId="191A9E4F">
            <w:pPr>
              <w:pStyle w:val="4"/>
              <w:shd w:val="clear" w:color="auto" w:fill="FDF3ED"/>
              <w:ind w:firstLine="360" w:firstLineChars="200"/>
              <w:jc w:val="center"/>
              <w:rPr>
                <w:b/>
                <w:lang w:bidi="ar"/>
              </w:rPr>
            </w:pPr>
            <w:r>
              <w:rPr>
                <w:rFonts w:hint="eastAsia"/>
                <w:b/>
                <w:lang w:bidi="ar"/>
              </w:rPr>
              <w:t>计税依据=依法实际缴纳的增值税税额+依法实际缴纳的消费税税额</w:t>
            </w:r>
          </w:p>
          <w:p w14:paraId="3C6182FE">
            <w:pPr>
              <w:pStyle w:val="4"/>
              <w:ind w:firstLine="360" w:firstLineChars="200"/>
              <w:jc w:val="left"/>
              <w:rPr>
                <w:lang w:bidi="ar"/>
              </w:rPr>
            </w:pPr>
            <w:r>
              <w:rPr>
                <w:rFonts w:hint="eastAsia"/>
                <w:lang w:bidi="ar"/>
              </w:rPr>
              <w:t>其中，依法实际缴纳的增值税税额是指纳税人依照增值税相关法律法规和税收政策规定计算应当缴纳的增值税税额，加上增值税免抵税额，减去直接减免的增值税税额，减去期末留抵退税退还的增值税税额（以下简称“留抵退税额”）后的余额。</w:t>
            </w:r>
          </w:p>
          <w:p w14:paraId="11FE7691">
            <w:pPr>
              <w:pStyle w:val="4"/>
              <w:shd w:val="clear" w:color="auto" w:fill="FDF3ED"/>
              <w:ind w:firstLine="360" w:firstLineChars="200"/>
              <w:rPr>
                <w:rFonts w:ascii="MS Mincho" w:hAnsi="MS Mincho" w:cs="MS Mincho"/>
                <w:b/>
              </w:rPr>
            </w:pPr>
            <w:r>
              <w:rPr>
                <w:rFonts w:hint="eastAsia"/>
                <w:b/>
              </w:rPr>
              <w:t>【知识拓展】</w:t>
            </w:r>
          </w:p>
          <w:p w14:paraId="1110D264">
            <w:pPr>
              <w:pStyle w:val="4"/>
              <w:shd w:val="clear" w:color="auto" w:fill="FDF3ED"/>
              <w:ind w:firstLine="360" w:firstLineChars="200"/>
              <w:rPr>
                <w:b/>
              </w:rPr>
            </w:pPr>
            <w:r>
              <w:rPr>
                <w:rFonts w:ascii="MS Mincho" w:hAnsi="MS Mincho" w:cs="MS Mincho"/>
                <w:b/>
              </w:rPr>
              <w:t>✈</w:t>
            </w:r>
            <w:r>
              <w:rPr>
                <w:rFonts w:hint="eastAsia"/>
                <w:b/>
              </w:rPr>
              <w:t>【教师】讲解计算城市维护建设税的相关知识</w:t>
            </w:r>
          </w:p>
          <w:p w14:paraId="597655C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（1）纳税人应在税务机关核准免抵税额的下一个纳税申报期内，向主管税务机关申报缴纳城市维护建设税。</w:t>
            </w:r>
          </w:p>
          <w:p w14:paraId="64C4285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城市维护建设税计税依据中允许扣除的留抵退税额是指纳税人按照增值税一般计税方法确定的留抵退税额。纳税人自收到留抵退税额之日起，应当在下一个纳税申报期将其从城市维护建设税计税依据中扣除。当期未扣除完的余额，在以后纳税申报期按规定继续扣除。</w:t>
            </w:r>
          </w:p>
          <w:p w14:paraId="692A18D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（3）对于增值税小规模纳税人更正、查补此前按照一般计税方法确定的城市维护建设税计税依据，允许扣除尚未扣除完的留抵退税额。</w:t>
            </w:r>
          </w:p>
          <w:p w14:paraId="2574F76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FB3917C">
            <w:pPr>
              <w:pStyle w:val="4"/>
              <w:ind w:firstLine="360" w:firstLineChars="200"/>
              <w:jc w:val="left"/>
              <w:rPr>
                <w:lang w:bidi="ar"/>
              </w:rPr>
            </w:pPr>
            <w:r>
              <w:rPr>
                <w:rFonts w:hint="eastAsia"/>
                <w:lang w:bidi="ar"/>
              </w:rPr>
              <w:t>依法实际缴纳的消费税税额是指纳税人依照消费税相关法律法规和税收政策规定计算应当缴纳的消费税税额，减去直接减免的消费税税额后的余额。</w:t>
            </w:r>
          </w:p>
          <w:p w14:paraId="1BB4C0F4">
            <w:pPr>
              <w:pStyle w:val="4"/>
              <w:ind w:firstLine="360" w:firstLineChars="200"/>
              <w:jc w:val="left"/>
              <w:rPr>
                <w:lang w:bidi="ar"/>
              </w:rPr>
            </w:pPr>
            <w:r>
              <w:rPr>
                <w:rFonts w:hint="eastAsia"/>
                <w:lang w:bidi="ar"/>
              </w:rPr>
              <w:t>直接减免的两税税额是指依照增值税、消费税相关法律法规和税收政策规定，直接减征或免征的两税税额，不包括实行先征后返、先征后退、即征即退办法退还的两税税额。</w:t>
            </w:r>
          </w:p>
          <w:p w14:paraId="212B7E62">
            <w:pPr>
              <w:pStyle w:val="4"/>
              <w:shd w:val="clear" w:color="auto" w:fill="FDF3ED"/>
              <w:ind w:firstLine="360" w:firstLineChars="200"/>
              <w:rPr>
                <w:rFonts w:ascii="MS Mincho" w:hAnsi="MS Mincho" w:cs="MS Mincho"/>
                <w:b/>
              </w:rPr>
            </w:pPr>
            <w:r>
              <w:rPr>
                <w:rFonts w:hint="eastAsia"/>
                <w:b/>
              </w:rPr>
              <w:t>【课堂互动】</w:t>
            </w:r>
          </w:p>
          <w:p w14:paraId="113F1AFB">
            <w:pPr>
              <w:pStyle w:val="4"/>
              <w:shd w:val="clear" w:color="auto" w:fill="FDF3ED"/>
              <w:ind w:firstLine="360" w:firstLineChars="200"/>
              <w:rPr>
                <w:b/>
              </w:rPr>
            </w:pPr>
            <w:r>
              <w:rPr>
                <w:rFonts w:ascii="MS Mincho" w:hAnsi="MS Mincho" w:cs="MS Mincho"/>
                <w:b/>
              </w:rPr>
              <w:t>✈</w:t>
            </w:r>
            <w:r>
              <w:rPr>
                <w:rFonts w:hint="eastAsia"/>
                <w:b/>
              </w:rPr>
              <w:t>【教师】提出问题</w:t>
            </w:r>
          </w:p>
          <w:p w14:paraId="3BE1939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纳税人因违反增值税、消费税相关法律法规和税收政策有关规定而被加收的滞纳金和罚款，可以作为城市维护建设税的计税依据吗？</w:t>
            </w:r>
          </w:p>
          <w:p w14:paraId="77799A1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7BC063B">
            <w:pPr>
              <w:pStyle w:val="4"/>
              <w:shd w:val="clear" w:color="auto" w:fill="FDF3ED"/>
              <w:ind w:firstLine="360" w:firstLineChars="200"/>
              <w:rPr>
                <w:b/>
              </w:rPr>
            </w:pPr>
            <w:r>
              <w:rPr>
                <w:rFonts w:ascii="MS Mincho" w:hAnsi="MS Mincho" w:cs="MS Mincho"/>
                <w:b/>
              </w:rPr>
              <w:t>✈</w:t>
            </w:r>
            <w:r>
              <w:rPr>
                <w:rFonts w:hint="eastAsia"/>
                <w:b/>
              </w:rPr>
              <w:t>【教师】总结学生的回答</w:t>
            </w:r>
          </w:p>
          <w:p w14:paraId="6784B17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纳税人因违反增值税、消费税相关法律法规和税收政策有关规定而被加收的滞纳金和罚款， 不作为城市维护建设税的计税依据。</w:t>
            </w:r>
          </w:p>
          <w:p w14:paraId="76EFB0F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B0520AF">
            <w:pPr>
              <w:pStyle w:val="4"/>
              <w:shd w:val="clear" w:color="auto" w:fill="FDF3ED"/>
              <w:ind w:firstLine="360" w:firstLineChars="200"/>
              <w:rPr>
                <w:rFonts w:ascii="MS Mincho" w:hAnsi="MS Mincho" w:cs="MS Mincho"/>
                <w:b/>
              </w:rPr>
            </w:pPr>
            <w:r>
              <w:rPr>
                <w:rFonts w:hint="eastAsia"/>
                <w:b/>
              </w:rPr>
              <w:t>【知识拓展】</w:t>
            </w:r>
          </w:p>
          <w:p w14:paraId="2957CC6B">
            <w:pPr>
              <w:pStyle w:val="4"/>
              <w:shd w:val="clear" w:color="auto" w:fill="FDF3ED"/>
              <w:ind w:firstLine="360" w:firstLineChars="200"/>
              <w:rPr>
                <w:b/>
              </w:rPr>
            </w:pPr>
            <w:r>
              <w:rPr>
                <w:rFonts w:ascii="MS Mincho" w:hAnsi="MS Mincho" w:cs="MS Mincho"/>
                <w:b/>
              </w:rPr>
              <w:t>✈</w:t>
            </w:r>
            <w:r>
              <w:rPr>
                <w:rFonts w:hint="eastAsia"/>
                <w:b/>
              </w:rPr>
              <w:t>【教师】讲解小微企业“六税两费”减免政策的相关知识</w:t>
            </w:r>
          </w:p>
          <w:p w14:paraId="27BD7C3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小微企业“六税两费”减免政策是指，自2022年1月1日至2024年12月31日，由省、自治区、直辖市人民政府根据本地区实际情况，以及宏观调控需要确定，对小规模纳税人、小型微利企业和个体工商户可以在50%的税额幅度内减征资源税、城市维护建设税、房产税、城镇土地使用税、印花税（不含证券交易印花税）、耕地占用税、教育费附加、地方教育附加。</w:t>
            </w:r>
          </w:p>
          <w:p w14:paraId="3D45E29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小规模纳税人、小型微利企业和个体工商户已依法享受资源税、城市维护建设税、房产税、城镇土地使用税、印花税、耕地占用税、教育费附加、地方教育附加其他优惠政策的，可叠加享受上述规定的优惠政策。</w:t>
            </w:r>
          </w:p>
          <w:p w14:paraId="7F68BE74">
            <w:pPr>
              <w:pStyle w:val="4"/>
              <w:ind w:firstLine="360" w:firstLineChars="200"/>
              <w:jc w:val="left"/>
              <w:rPr>
                <w:rFonts w:hint="eastAsia"/>
                <w:b/>
                <w:lang w:bidi="ar"/>
              </w:rPr>
            </w:pPr>
            <w:r>
              <w:rPr>
                <w:rFonts w:hint="eastAsia" w:ascii="微软雅黑" w:hAnsi="微软雅黑"/>
                <w:b/>
                <w:color w:val="833C0B"/>
              </w:rPr>
              <w:t>【学生】聆听、思考、理解、记录</w:t>
            </w:r>
          </w:p>
          <w:p w14:paraId="17419CA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【教师】讲解城市维护建设税的应纳税额的计算</w:t>
            </w:r>
          </w:p>
          <w:p w14:paraId="18425D8D">
            <w:pPr>
              <w:pStyle w:val="4"/>
              <w:ind w:firstLine="360" w:firstLineChars="200"/>
              <w:jc w:val="left"/>
              <w:rPr>
                <w:lang w:bidi="ar"/>
              </w:rPr>
            </w:pPr>
            <w:r>
              <w:rPr>
                <w:rFonts w:hint="eastAsia"/>
                <w:lang w:bidi="ar"/>
              </w:rPr>
              <w:t>城市维护建设税应纳税额的计算公式如下：</w:t>
            </w:r>
          </w:p>
          <w:p w14:paraId="484F223D">
            <w:pPr>
              <w:pStyle w:val="4"/>
              <w:shd w:val="clear" w:color="auto" w:fill="FDF3ED"/>
              <w:ind w:firstLine="360" w:firstLineChars="200"/>
              <w:jc w:val="center"/>
              <w:rPr>
                <w:b/>
                <w:lang w:bidi="ar"/>
              </w:rPr>
            </w:pPr>
            <w:r>
              <w:rPr>
                <w:rFonts w:hint="eastAsia"/>
                <w:b/>
                <w:lang w:bidi="ar"/>
              </w:rPr>
              <w:t>城市维护建设税应纳税额=计税依据×适用税率</w:t>
            </w:r>
          </w:p>
          <w:p w14:paraId="6CD438C2">
            <w:pPr>
              <w:pStyle w:val="4"/>
            </w:pPr>
          </w:p>
          <w:p w14:paraId="73054E64">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城市维护建设税应纳税额的计算方法</w:t>
            </w:r>
          </w:p>
          <w:p w14:paraId="0FA71F8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9</w:t>
            </w:r>
            <w:r>
              <w:rPr>
                <w:rFonts w:hint="eastAsia" w:ascii="Times New Roman" w:hAnsi="Times New Roman" w:eastAsia="微软雅黑"/>
                <w:b/>
                <w:sz w:val="18"/>
              </w:rPr>
              <w:t>-1】</w:t>
            </w:r>
            <w:r>
              <w:rPr>
                <w:rFonts w:hint="eastAsia" w:ascii="Times New Roman" w:hAnsi="Times New Roman" w:eastAsia="微软雅黑"/>
                <w:sz w:val="18"/>
              </w:rPr>
              <w:t>甲企业位于某市市区。202</w:t>
            </w:r>
            <w:r>
              <w:rPr>
                <w:rFonts w:hint="eastAsia" w:ascii="Times New Roman" w:hAnsi="Times New Roman" w:eastAsia="微软雅黑"/>
                <w:sz w:val="18"/>
                <w:lang w:val="en-US" w:eastAsia="zh-CN"/>
              </w:rPr>
              <w:t>4</w:t>
            </w:r>
            <w:r>
              <w:rPr>
                <w:rFonts w:hint="eastAsia" w:ascii="Times New Roman" w:hAnsi="Times New Roman" w:eastAsia="微软雅黑"/>
                <w:sz w:val="18"/>
              </w:rPr>
              <w:t>年9月，收到增值税留抵退税额5万元，经税务机关核准的增值税免抵税额为10万元；10月，依法缴纳的增值税税额为50万元。请计算甲企业10月应缴纳的城市维护建设税税额。</w:t>
            </w:r>
          </w:p>
          <w:p w14:paraId="5BDFF26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学生】观看、思考、计算、回答问题</w:t>
            </w:r>
          </w:p>
          <w:p w14:paraId="4D90A558">
            <w:pPr>
              <w:pStyle w:val="4"/>
              <w:shd w:val="clear" w:color="auto" w:fill="FDF3ED"/>
              <w:ind w:firstLine="360" w:firstLineChars="200"/>
              <w:rPr>
                <w:b/>
              </w:rPr>
            </w:pPr>
            <w:r>
              <w:rPr>
                <w:rFonts w:ascii="MS Mincho" w:hAnsi="MS Mincho" w:cs="MS Mincho"/>
                <w:b/>
              </w:rPr>
              <w:t>✈</w:t>
            </w:r>
            <w:r>
              <w:rPr>
                <w:rFonts w:hint="eastAsia"/>
                <w:b/>
              </w:rPr>
              <w:t>【教师】公布正确答案</w:t>
            </w:r>
          </w:p>
          <w:p w14:paraId="4568ACBD">
            <w:pPr>
              <w:shd w:val="clear" w:color="auto" w:fill="FDF3ED"/>
              <w:ind w:firstLine="360" w:firstLineChars="200"/>
              <w:rPr>
                <w:rFonts w:ascii="Times New Roman" w:hAnsi="Times New Roman" w:eastAsia="微软雅黑"/>
                <w:sz w:val="18"/>
              </w:rPr>
            </w:pPr>
            <w:r>
              <w:rPr>
                <w:rFonts w:ascii="Times New Roman" w:hAnsi="Times New Roman" w:eastAsia="微软雅黑"/>
                <w:sz w:val="18"/>
              </w:rPr>
              <w:t>10</w:t>
            </w:r>
            <w:r>
              <w:rPr>
                <w:rFonts w:hint="eastAsia" w:ascii="Times New Roman" w:hAnsi="Times New Roman" w:eastAsia="微软雅黑"/>
                <w:sz w:val="18"/>
              </w:rPr>
              <w:t>月应缴纳的城市维护建设税税额</w:t>
            </w:r>
            <w:r>
              <w:rPr>
                <w:rFonts w:ascii="Times New Roman" w:hAnsi="Times New Roman" w:eastAsia="微软雅黑"/>
                <w:sz w:val="18"/>
              </w:rPr>
              <w:t>=</w:t>
            </w:r>
            <w:r>
              <w:rPr>
                <w:rFonts w:hint="eastAsia" w:ascii="Times New Roman" w:hAnsi="Times New Roman" w:eastAsia="微软雅黑"/>
                <w:sz w:val="18"/>
              </w:rPr>
              <w:t>（</w:t>
            </w:r>
            <w:r>
              <w:rPr>
                <w:rFonts w:ascii="Times New Roman" w:hAnsi="Times New Roman" w:eastAsia="微软雅黑"/>
                <w:sz w:val="18"/>
              </w:rPr>
              <w:t>50+10−5</w:t>
            </w:r>
            <w:r>
              <w:rPr>
                <w:rFonts w:hint="eastAsia" w:ascii="Times New Roman" w:hAnsi="Times New Roman" w:eastAsia="微软雅黑"/>
                <w:sz w:val="18"/>
              </w:rPr>
              <w:t>）×</w:t>
            </w:r>
            <w:r>
              <w:rPr>
                <w:rFonts w:ascii="Times New Roman" w:hAnsi="Times New Roman" w:eastAsia="微软雅黑"/>
                <w:sz w:val="18"/>
              </w:rPr>
              <w:t>7%=3.85</w:t>
            </w:r>
            <w:r>
              <w:rPr>
                <w:rFonts w:hint="eastAsia" w:ascii="Times New Roman" w:hAnsi="Times New Roman" w:eastAsia="微软雅黑"/>
                <w:sz w:val="18"/>
              </w:rPr>
              <w:t>万元</w:t>
            </w:r>
          </w:p>
          <w:p w14:paraId="7A99FD53">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7E42D8D">
            <w:pPr>
              <w:pStyle w:val="4"/>
              <w:ind w:firstLine="360" w:firstLineChars="200"/>
              <w:jc w:val="left"/>
              <w:rPr>
                <w:b/>
                <w:lang w:bidi="ar"/>
              </w:rPr>
            </w:pPr>
            <w:r>
              <w:rPr>
                <w:rFonts w:hint="eastAsia"/>
                <w:b/>
                <w:lang w:bidi="ar"/>
              </w:rPr>
              <w:t>三、城市维护建设税</w:t>
            </w:r>
            <w:r>
              <w:rPr>
                <w:rFonts w:hint="eastAsia"/>
                <w:b/>
                <w:lang w:val="en-US" w:eastAsia="zh-CN" w:bidi="ar"/>
              </w:rPr>
              <w:t>纳税</w:t>
            </w:r>
            <w:r>
              <w:rPr>
                <w:rFonts w:hint="eastAsia"/>
                <w:b/>
                <w:lang w:bidi="ar"/>
              </w:rPr>
              <w:t>申报</w:t>
            </w:r>
          </w:p>
          <w:p w14:paraId="528FD058">
            <w:pPr>
              <w:pStyle w:val="4"/>
              <w:ind w:firstLine="360" w:firstLineChars="200"/>
              <w:jc w:val="left"/>
              <w:rPr>
                <w:rFonts w:hint="default" w:eastAsia="微软雅黑"/>
                <w:b/>
                <w:lang w:val="en-US" w:eastAsia="zh-CN" w:bidi="ar"/>
              </w:rPr>
            </w:pPr>
            <w:r>
              <w:rPr>
                <w:rFonts w:hint="eastAsia"/>
                <w:b/>
                <w:lang w:bidi="ar"/>
              </w:rPr>
              <w:t>（一）</w:t>
            </w:r>
            <w:r>
              <w:rPr>
                <w:rFonts w:hint="eastAsia"/>
                <w:b/>
                <w:lang w:val="en-US" w:eastAsia="zh-CN" w:bidi="ar"/>
              </w:rPr>
              <w:t>纳税义务发生时间</w:t>
            </w:r>
          </w:p>
          <w:p w14:paraId="6BE88B87">
            <w:pPr>
              <w:pStyle w:val="4"/>
              <w:ind w:firstLine="360" w:firstLineChars="200"/>
              <w:jc w:val="left"/>
              <w:rPr>
                <w:lang w:bidi="ar"/>
              </w:rPr>
            </w:pPr>
            <w:r>
              <w:rPr>
                <w:rFonts w:hint="eastAsia"/>
                <w:lang w:bidi="ar"/>
              </w:rPr>
              <w:t>城市维护建设税的纳税义务发生时间与增值税、消费税的纳税义务发生时间一致，分别与增值税、消费税同时缴纳。同时缴纳是指在缴纳两税时，应当在同一缴纳地点、同一缴纳期限内，一并缴纳对应的城市维护建设税。</w:t>
            </w:r>
          </w:p>
          <w:p w14:paraId="5037E6BA">
            <w:pPr>
              <w:pStyle w:val="4"/>
              <w:ind w:firstLine="360" w:firstLineChars="200"/>
              <w:jc w:val="left"/>
              <w:rPr>
                <w:rFonts w:hint="eastAsia"/>
                <w:lang w:bidi="ar"/>
              </w:rPr>
            </w:pPr>
            <w:r>
              <w:rPr>
                <w:rFonts w:hint="eastAsia"/>
                <w:lang w:bidi="ar"/>
              </w:rPr>
              <w:t>采用委托代征、代扣代缴、代收代缴、预缴、补缴等方式缴纳两税的，应当同时缴纳城市维护建设税。</w:t>
            </w:r>
          </w:p>
          <w:p w14:paraId="0D759044">
            <w:pPr>
              <w:pStyle w:val="4"/>
              <w:numPr>
                <w:ilvl w:val="0"/>
                <w:numId w:val="0"/>
              </w:numPr>
              <w:ind w:left="360" w:leftChars="0"/>
              <w:jc w:val="left"/>
              <w:rPr>
                <w:rFonts w:hint="eastAsia"/>
                <w:b/>
                <w:lang w:val="en-US" w:eastAsia="zh-CN" w:bidi="ar"/>
              </w:rPr>
            </w:pPr>
            <w:r>
              <w:rPr>
                <w:rFonts w:hint="eastAsia"/>
                <w:b/>
                <w:lang w:val="en-US" w:eastAsia="zh-CN" w:bidi="ar"/>
              </w:rPr>
              <w:t>（二）纳税期限</w:t>
            </w:r>
          </w:p>
          <w:p w14:paraId="6003B82F">
            <w:pPr>
              <w:pStyle w:val="4"/>
              <w:ind w:firstLine="360" w:firstLineChars="200"/>
              <w:jc w:val="left"/>
              <w:rPr>
                <w:rFonts w:hint="eastAsia"/>
                <w:b/>
                <w:lang w:val="en-US" w:eastAsia="zh-CN" w:bidi="ar"/>
              </w:rPr>
            </w:pPr>
            <w:r>
              <w:rPr>
                <w:rFonts w:hint="eastAsia"/>
                <w:lang w:val="en-US" w:eastAsia="zh-CN" w:bidi="ar"/>
              </w:rPr>
              <w:t>城建税的纳税期限与“二税”的纳税期限一致。</w:t>
            </w:r>
          </w:p>
          <w:p w14:paraId="427E449E">
            <w:pPr>
              <w:pStyle w:val="4"/>
              <w:numPr>
                <w:ilvl w:val="0"/>
                <w:numId w:val="1"/>
              </w:numPr>
              <w:ind w:left="360" w:leftChars="0" w:firstLine="0" w:firstLineChars="0"/>
              <w:jc w:val="left"/>
              <w:rPr>
                <w:rFonts w:hint="eastAsia"/>
                <w:b/>
                <w:lang w:val="en-US" w:eastAsia="zh-CN" w:bidi="ar"/>
              </w:rPr>
            </w:pPr>
            <w:r>
              <w:rPr>
                <w:rFonts w:hint="eastAsia"/>
                <w:b/>
                <w:lang w:val="en-US" w:eastAsia="zh-CN" w:bidi="ar"/>
              </w:rPr>
              <w:t>纳税地点</w:t>
            </w:r>
          </w:p>
          <w:p w14:paraId="6F7205CE">
            <w:pPr>
              <w:pStyle w:val="4"/>
              <w:numPr>
                <w:ilvl w:val="0"/>
                <w:numId w:val="0"/>
              </w:numPr>
              <w:ind w:left="360" w:leftChars="0"/>
              <w:jc w:val="left"/>
              <w:rPr>
                <w:rFonts w:hint="default"/>
                <w:b/>
                <w:lang w:val="en-US" w:eastAsia="zh-CN" w:bidi="ar"/>
              </w:rPr>
            </w:pPr>
            <w:r>
              <w:rPr>
                <w:rFonts w:hint="default"/>
                <w:b w:val="0"/>
                <w:bCs/>
                <w:lang w:val="en-US" w:eastAsia="zh-CN" w:bidi="ar"/>
              </w:rPr>
              <w:t>纳税人缴纳“二税”地点就是该纳税人缴纳城建税的地点。</w:t>
            </w:r>
          </w:p>
          <w:p w14:paraId="34F89708">
            <w:pPr>
              <w:pStyle w:val="4"/>
              <w:shd w:val="clear" w:color="auto" w:fill="FDF3ED"/>
              <w:ind w:firstLine="360" w:firstLineChars="200"/>
              <w:rPr>
                <w:rFonts w:ascii="MS Mincho" w:hAnsi="MS Mincho" w:cs="MS Mincho"/>
                <w:b/>
              </w:rPr>
            </w:pPr>
            <w:r>
              <w:rPr>
                <w:rFonts w:hint="eastAsia"/>
                <w:b/>
              </w:rPr>
              <w:t>【课堂互动】</w:t>
            </w:r>
          </w:p>
          <w:p w14:paraId="275774BF">
            <w:pPr>
              <w:pStyle w:val="4"/>
              <w:shd w:val="clear" w:color="auto" w:fill="FDF3ED"/>
              <w:ind w:firstLine="360" w:firstLineChars="200"/>
              <w:rPr>
                <w:b/>
              </w:rPr>
            </w:pPr>
            <w:r>
              <w:rPr>
                <w:rFonts w:ascii="MS Mincho" w:hAnsi="MS Mincho" w:cs="MS Mincho"/>
                <w:b/>
              </w:rPr>
              <w:t>✈</w:t>
            </w:r>
            <w:r>
              <w:rPr>
                <w:rFonts w:hint="eastAsia"/>
                <w:b/>
              </w:rPr>
              <w:t>【教师】讲解代扣代缴的相关知识</w:t>
            </w:r>
          </w:p>
          <w:p w14:paraId="5C5DA8F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代扣代缴不含因境外单位和个人向境内销售劳务、服务、无形资产代扣代缴增值税情形。</w:t>
            </w:r>
          </w:p>
          <w:p w14:paraId="6E64804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2CA48DE">
            <w:pPr>
              <w:pStyle w:val="4"/>
              <w:ind w:firstLine="360" w:firstLineChars="200"/>
              <w:jc w:val="left"/>
              <w:rPr>
                <w:lang w:bidi="ar"/>
              </w:rPr>
            </w:pPr>
            <w:r>
              <w:rPr>
                <w:rFonts w:hint="eastAsia"/>
                <w:lang w:bidi="ar"/>
              </w:rPr>
              <w:t>因纳税人多缴发生的两税退税，应同时退还已缴纳的城市维护建设税。对两税实行先征后返、先征后退、即征即退的，除另有规定外，不退还与两税同时缴纳的城市维护建设税。对出口货物退还两税的，不退还已缴纳的城市维护建设税。</w:t>
            </w:r>
          </w:p>
          <w:p w14:paraId="03720970">
            <w:pPr>
              <w:pStyle w:val="4"/>
              <w:ind w:firstLine="360" w:firstLineChars="200"/>
              <w:jc w:val="left"/>
              <w:rPr>
                <w:b/>
                <w:lang w:bidi="ar"/>
              </w:rPr>
            </w:pPr>
            <w:r>
              <w:rPr>
                <w:rFonts w:hint="eastAsia"/>
                <w:b/>
                <w:lang w:bidi="ar"/>
              </w:rPr>
              <w:t>（</w:t>
            </w:r>
            <w:r>
              <w:rPr>
                <w:rFonts w:hint="eastAsia"/>
                <w:b/>
                <w:lang w:val="en-US" w:eastAsia="zh-CN" w:bidi="ar"/>
              </w:rPr>
              <w:t>四</w:t>
            </w:r>
            <w:r>
              <w:rPr>
                <w:rFonts w:hint="eastAsia"/>
                <w:b/>
                <w:lang w:bidi="ar"/>
              </w:rPr>
              <w:t>）纳税申报</w:t>
            </w:r>
          </w:p>
          <w:p w14:paraId="76AF723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【教师】讲解城市维护建设税的纳税申报</w:t>
            </w:r>
          </w:p>
          <w:p w14:paraId="7C3ABD33">
            <w:pPr>
              <w:pStyle w:val="4"/>
              <w:ind w:firstLine="360" w:firstLineChars="200"/>
              <w:jc w:val="left"/>
              <w:rPr>
                <w:lang w:bidi="ar"/>
              </w:rPr>
            </w:pPr>
            <w:r>
              <w:rPr>
                <w:rFonts w:hint="eastAsia"/>
                <w:lang w:bidi="ar"/>
              </w:rPr>
              <w:t>自2021年8月1日起，增值税、消费税分别与附加税费（指城市维护建设税、教育费附加、地方教育附加）申报表整合。这意味着，纳税人在申报缴纳增值税和消费税时，还需要填报《增值税及附加税费申报表附列资料（五）》（附加税费情况表）（见表</w:t>
            </w:r>
            <w:r>
              <w:rPr>
                <w:rFonts w:hint="eastAsia"/>
                <w:lang w:val="en-US" w:eastAsia="zh-CN" w:bidi="ar"/>
              </w:rPr>
              <w:t>2</w:t>
            </w:r>
            <w:r>
              <w:rPr>
                <w:rFonts w:hint="eastAsia"/>
                <w:lang w:bidi="ar"/>
              </w:rPr>
              <w:t>-1）和《消费税附加税费计算表》（见表</w:t>
            </w:r>
            <w:r>
              <w:rPr>
                <w:rFonts w:hint="eastAsia"/>
                <w:lang w:val="en-US" w:eastAsia="zh-CN" w:bidi="ar"/>
              </w:rPr>
              <w:t>3</w:t>
            </w:r>
            <w:r>
              <w:rPr>
                <w:rFonts w:hint="eastAsia"/>
                <w:lang w:bidi="ar"/>
              </w:rPr>
              <w:t>-2）。</w:t>
            </w:r>
          </w:p>
          <w:p w14:paraId="589B341A">
            <w:pPr>
              <w:pStyle w:val="4"/>
              <w:shd w:val="clear" w:color="auto" w:fill="FDF3ED"/>
              <w:ind w:firstLine="360" w:firstLineChars="200"/>
              <w:rPr>
                <w:rFonts w:ascii="MS Mincho" w:hAnsi="MS Mincho" w:cs="MS Mincho"/>
                <w:b/>
              </w:rPr>
            </w:pPr>
            <w:r>
              <w:rPr>
                <w:rFonts w:hint="eastAsia"/>
                <w:b/>
              </w:rPr>
              <w:t>【课堂互动】</w:t>
            </w:r>
          </w:p>
          <w:p w14:paraId="4EC45944">
            <w:pPr>
              <w:pStyle w:val="4"/>
              <w:shd w:val="clear" w:color="auto" w:fill="FDF3ED"/>
              <w:ind w:firstLine="360" w:firstLineChars="200"/>
              <w:rPr>
                <w:b/>
              </w:rPr>
            </w:pPr>
            <w:r>
              <w:rPr>
                <w:rFonts w:ascii="MS Mincho" w:hAnsi="MS Mincho" w:cs="MS Mincho"/>
                <w:b/>
              </w:rPr>
              <w:t>✈</w:t>
            </w:r>
            <w:r>
              <w:rPr>
                <w:rFonts w:hint="eastAsia"/>
                <w:b/>
              </w:rPr>
              <w:t>【教师】提出问题</w:t>
            </w:r>
          </w:p>
          <w:p w14:paraId="1885CF1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增值税、消费税分别与附加税费申报表整合，实现了多税费“一张报表、一次申报、一次缴款、一张凭证”。你认为这对纳税人来说具有哪些意义？和同学讨论，说一说自己的看法。</w:t>
            </w:r>
          </w:p>
          <w:p w14:paraId="297427C1">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5452E7C4">
            <w:pPr>
              <w:pStyle w:val="4"/>
              <w:shd w:val="clear" w:color="auto" w:fill="FDF3ED"/>
              <w:ind w:firstLine="360" w:firstLineChars="200"/>
              <w:jc w:val="left"/>
              <w:rPr>
                <w:rFonts w:hint="eastAsia"/>
                <w:lang w:bidi="ar"/>
              </w:rPr>
            </w:pPr>
            <w:r>
              <w:rPr>
                <w:rFonts w:ascii="MS Mincho" w:hAnsi="MS Mincho" w:cs="MS Mincho"/>
                <w:b/>
              </w:rPr>
              <w:t>✈</w:t>
            </w:r>
            <w:r>
              <w:rPr>
                <w:rFonts w:hint="eastAsia"/>
                <w:b/>
              </w:rPr>
              <w:t>【教师】评价并总结学生的回答</w:t>
            </w:r>
          </w:p>
          <w:p w14:paraId="50546189">
            <w:pPr>
              <w:pStyle w:val="4"/>
              <w:ind w:firstLine="360" w:firstLineChars="200"/>
              <w:jc w:val="center"/>
              <w:rPr>
                <w:lang w:bidi="ar"/>
              </w:rPr>
            </w:pPr>
            <w:r>
              <w:rPr>
                <w:rFonts w:hint="eastAsia"/>
                <w:lang w:bidi="ar"/>
              </w:rPr>
              <w:t>表</w:t>
            </w:r>
            <w:r>
              <w:rPr>
                <w:rFonts w:hint="eastAsia"/>
                <w:lang w:val="en-US" w:eastAsia="zh-CN" w:bidi="ar"/>
              </w:rPr>
              <w:t>2</w:t>
            </w:r>
            <w:r>
              <w:rPr>
                <w:rFonts w:hint="eastAsia"/>
                <w:lang w:bidi="ar"/>
              </w:rPr>
              <w:t>-1  增值税及附加税费申报表附列资料（五）</w:t>
            </w:r>
          </w:p>
          <w:p w14:paraId="230877E2">
            <w:pPr>
              <w:pStyle w:val="4"/>
              <w:ind w:firstLine="360" w:firstLineChars="200"/>
              <w:jc w:val="center"/>
              <w:rPr>
                <w:lang w:bidi="ar"/>
              </w:rPr>
            </w:pPr>
            <w:r>
              <w:rPr>
                <w:rFonts w:hint="eastAsia"/>
                <w:lang w:bidi="ar"/>
              </w:rPr>
              <w:t>（附加税费情况表）</w:t>
            </w:r>
          </w:p>
          <w:p w14:paraId="2C091421">
            <w:pPr>
              <w:pStyle w:val="4"/>
              <w:ind w:firstLine="360" w:firstLineChars="200"/>
              <w:jc w:val="left"/>
              <w:rPr>
                <w:lang w:bidi="ar"/>
              </w:rPr>
            </w:pPr>
            <w:r>
              <w:rPr>
                <w:rFonts w:hint="eastAsia"/>
                <w:lang w:bidi="ar"/>
              </w:rPr>
              <w:t>税（费）款所属时间：      年   月   日至      年   月   日</w:t>
            </w:r>
          </w:p>
          <w:p w14:paraId="06815577">
            <w:pPr>
              <w:pStyle w:val="4"/>
              <w:ind w:firstLine="360" w:firstLineChars="200"/>
              <w:jc w:val="left"/>
              <w:rPr>
                <w:lang w:bidi="ar"/>
              </w:rPr>
            </w:pPr>
            <w:r>
              <w:rPr>
                <w:rFonts w:hint="eastAsia"/>
                <w:lang w:bidi="ar"/>
              </w:rPr>
              <w:t>纳税人名称：（公章）</w:t>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 xml:space="preserve">  金额单位：元（列至角分）</w:t>
            </w:r>
          </w:p>
          <w:tbl>
            <w:tblPr>
              <w:tblStyle w:val="2"/>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71"/>
              <w:gridCol w:w="249"/>
              <w:gridCol w:w="428"/>
              <w:gridCol w:w="416"/>
              <w:gridCol w:w="386"/>
              <w:gridCol w:w="27"/>
              <w:gridCol w:w="575"/>
              <w:gridCol w:w="668"/>
              <w:gridCol w:w="445"/>
              <w:gridCol w:w="521"/>
              <w:gridCol w:w="54"/>
              <w:gridCol w:w="753"/>
              <w:gridCol w:w="640"/>
              <w:gridCol w:w="389"/>
              <w:gridCol w:w="24"/>
              <w:gridCol w:w="410"/>
              <w:gridCol w:w="109"/>
              <w:gridCol w:w="466"/>
              <w:gridCol w:w="1149"/>
            </w:tblGrid>
            <w:tr w14:paraId="300F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1877" w:type="dxa"/>
                  <w:gridSpan w:val="6"/>
                  <w:vMerge w:val="restart"/>
                  <w:shd w:val="clear" w:color="auto" w:fill="auto"/>
                  <w:vAlign w:val="center"/>
                </w:tcPr>
                <w:p w14:paraId="2A128AB7">
                  <w:pPr>
                    <w:pStyle w:val="4"/>
                    <w:jc w:val="center"/>
                    <w:rPr>
                      <w:sz w:val="15"/>
                      <w:szCs w:val="15"/>
                    </w:rPr>
                  </w:pPr>
                  <w:r>
                    <w:rPr>
                      <w:rFonts w:hint="eastAsia"/>
                      <w:sz w:val="15"/>
                      <w:szCs w:val="15"/>
                    </w:rPr>
                    <w:t>本期是否适用小微企业</w:t>
                  </w:r>
                  <w:r>
                    <w:rPr>
                      <w:sz w:val="15"/>
                      <w:szCs w:val="15"/>
                    </w:rPr>
                    <w:br w:type="textWrapping"/>
                  </w:r>
                  <w:r>
                    <w:rPr>
                      <w:rFonts w:hint="eastAsia"/>
                      <w:sz w:val="15"/>
                      <w:szCs w:val="15"/>
                    </w:rPr>
                    <w:t>“六税两费”减免政策</w:t>
                  </w:r>
                </w:p>
              </w:tc>
              <w:tc>
                <w:tcPr>
                  <w:tcW w:w="1243" w:type="dxa"/>
                  <w:gridSpan w:val="2"/>
                  <w:vMerge w:val="restart"/>
                  <w:shd w:val="clear" w:color="auto" w:fill="auto"/>
                  <w:vAlign w:val="center"/>
                </w:tcPr>
                <w:p w14:paraId="427C3479">
                  <w:pPr>
                    <w:pStyle w:val="4"/>
                    <w:jc w:val="center"/>
                    <w:rPr>
                      <w:sz w:val="15"/>
                      <w:szCs w:val="15"/>
                    </w:rPr>
                  </w:pPr>
                  <w:r>
                    <w:rPr>
                      <w:rFonts w:hint="eastAsia" w:ascii="宋体" w:hAnsi="宋体"/>
                      <w:position w:val="-1"/>
                      <w:szCs w:val="18"/>
                    </w:rPr>
                    <w:t>□</w:t>
                  </w:r>
                  <w:r>
                    <w:rPr>
                      <w:rFonts w:hint="eastAsia" w:ascii="宋体" w:hAnsi="宋体"/>
                      <w:sz w:val="15"/>
                      <w:szCs w:val="15"/>
                    </w:rPr>
                    <w:t xml:space="preserve">是 </w:t>
                  </w:r>
                  <w:r>
                    <w:rPr>
                      <w:rFonts w:ascii="宋体" w:hAnsi="宋体"/>
                      <w:sz w:val="15"/>
                      <w:szCs w:val="15"/>
                    </w:rPr>
                    <w:t xml:space="preserve"> </w:t>
                  </w:r>
                  <w:r>
                    <w:rPr>
                      <w:rFonts w:hint="eastAsia" w:ascii="宋体" w:hAnsi="宋体"/>
                      <w:position w:val="-1"/>
                      <w:szCs w:val="18"/>
                    </w:rPr>
                    <w:t>□</w:t>
                  </w:r>
                  <w:r>
                    <w:rPr>
                      <w:rFonts w:hint="eastAsia" w:ascii="宋体" w:hAnsi="宋体"/>
                      <w:sz w:val="15"/>
                      <w:szCs w:val="15"/>
                    </w:rPr>
                    <w:t>否</w:t>
                  </w:r>
                </w:p>
              </w:tc>
              <w:tc>
                <w:tcPr>
                  <w:tcW w:w="1773" w:type="dxa"/>
                  <w:gridSpan w:val="4"/>
                  <w:shd w:val="clear" w:color="auto" w:fill="auto"/>
                  <w:vAlign w:val="center"/>
                </w:tcPr>
                <w:p w14:paraId="784E259D">
                  <w:pPr>
                    <w:pStyle w:val="4"/>
                    <w:jc w:val="center"/>
                    <w:rPr>
                      <w:sz w:val="15"/>
                      <w:szCs w:val="15"/>
                    </w:rPr>
                  </w:pPr>
                  <w:r>
                    <w:rPr>
                      <w:rFonts w:hint="eastAsia"/>
                      <w:sz w:val="15"/>
                      <w:szCs w:val="15"/>
                    </w:rPr>
                    <w:t>减免政策适用主体</w:t>
                  </w:r>
                </w:p>
              </w:tc>
              <w:tc>
                <w:tcPr>
                  <w:tcW w:w="3187" w:type="dxa"/>
                  <w:gridSpan w:val="7"/>
                </w:tcPr>
                <w:p w14:paraId="35FBF7AF">
                  <w:pPr>
                    <w:pStyle w:val="4"/>
                    <w:jc w:val="center"/>
                    <w:rPr>
                      <w:sz w:val="15"/>
                      <w:szCs w:val="15"/>
                    </w:rPr>
                  </w:pPr>
                  <w:r>
                    <w:rPr>
                      <w:rFonts w:hint="eastAsia" w:ascii="宋体" w:hAnsi="宋体"/>
                      <w:position w:val="-1"/>
                      <w:szCs w:val="18"/>
                    </w:rPr>
                    <w:t>□</w:t>
                  </w:r>
                  <w:r>
                    <w:rPr>
                      <w:rFonts w:hint="eastAsia"/>
                      <w:sz w:val="15"/>
                      <w:szCs w:val="15"/>
                    </w:rPr>
                    <w:t xml:space="preserve">个体工商户 </w:t>
                  </w:r>
                  <w:r>
                    <w:rPr>
                      <w:sz w:val="15"/>
                      <w:szCs w:val="15"/>
                    </w:rPr>
                    <w:t xml:space="preserve">  </w:t>
                  </w:r>
                  <w:r>
                    <w:rPr>
                      <w:rFonts w:hint="eastAsia" w:ascii="宋体" w:hAnsi="宋体"/>
                      <w:position w:val="-1"/>
                      <w:szCs w:val="18"/>
                    </w:rPr>
                    <w:t>□</w:t>
                  </w:r>
                  <w:r>
                    <w:rPr>
                      <w:rFonts w:hint="eastAsia" w:ascii="宋体" w:hAnsi="宋体"/>
                      <w:sz w:val="15"/>
                      <w:szCs w:val="15"/>
                    </w:rPr>
                    <w:t>小型微利企业</w:t>
                  </w:r>
                </w:p>
              </w:tc>
            </w:tr>
            <w:tr w14:paraId="1AAF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1877" w:type="dxa"/>
                  <w:gridSpan w:val="6"/>
                  <w:vMerge w:val="continue"/>
                  <w:shd w:val="clear" w:color="auto" w:fill="auto"/>
                  <w:vAlign w:val="center"/>
                </w:tcPr>
                <w:p w14:paraId="7D8EC2BB">
                  <w:pPr>
                    <w:pStyle w:val="4"/>
                    <w:jc w:val="center"/>
                    <w:rPr>
                      <w:sz w:val="15"/>
                      <w:szCs w:val="15"/>
                    </w:rPr>
                  </w:pPr>
                </w:p>
              </w:tc>
              <w:tc>
                <w:tcPr>
                  <w:tcW w:w="1243" w:type="dxa"/>
                  <w:gridSpan w:val="2"/>
                  <w:vMerge w:val="continue"/>
                  <w:shd w:val="clear" w:color="auto" w:fill="auto"/>
                  <w:vAlign w:val="center"/>
                </w:tcPr>
                <w:p w14:paraId="4E94F09F">
                  <w:pPr>
                    <w:pStyle w:val="4"/>
                    <w:jc w:val="center"/>
                    <w:rPr>
                      <w:sz w:val="15"/>
                      <w:szCs w:val="15"/>
                    </w:rPr>
                  </w:pPr>
                </w:p>
              </w:tc>
              <w:tc>
                <w:tcPr>
                  <w:tcW w:w="1773" w:type="dxa"/>
                  <w:gridSpan w:val="4"/>
                  <w:shd w:val="clear" w:color="auto" w:fill="auto"/>
                  <w:vAlign w:val="center"/>
                </w:tcPr>
                <w:p w14:paraId="34A8DFBA">
                  <w:pPr>
                    <w:pStyle w:val="4"/>
                    <w:jc w:val="center"/>
                    <w:rPr>
                      <w:sz w:val="15"/>
                      <w:szCs w:val="15"/>
                    </w:rPr>
                  </w:pPr>
                  <w:r>
                    <w:rPr>
                      <w:rFonts w:hint="eastAsia"/>
                      <w:sz w:val="15"/>
                      <w:szCs w:val="15"/>
                    </w:rPr>
                    <w:t>适用减免政策起止时间</w:t>
                  </w:r>
                </w:p>
              </w:tc>
              <w:tc>
                <w:tcPr>
                  <w:tcW w:w="3187" w:type="dxa"/>
                  <w:gridSpan w:val="7"/>
                </w:tcPr>
                <w:p w14:paraId="711E40D6">
                  <w:pPr>
                    <w:pStyle w:val="4"/>
                    <w:jc w:val="center"/>
                    <w:rPr>
                      <w:sz w:val="15"/>
                      <w:szCs w:val="15"/>
                    </w:rPr>
                  </w:pPr>
                  <w:r>
                    <w:rPr>
                      <w:rFonts w:hint="eastAsia"/>
                      <w:sz w:val="15"/>
                      <w:szCs w:val="15"/>
                    </w:rPr>
                    <w:t xml:space="preserve">   年   月</w:t>
                  </w:r>
                  <w:r>
                    <w:rPr>
                      <w:sz w:val="15"/>
                      <w:szCs w:val="15"/>
                    </w:rPr>
                    <w:t>至</w:t>
                  </w:r>
                  <w:r>
                    <w:rPr>
                      <w:rFonts w:hint="eastAsia"/>
                      <w:sz w:val="15"/>
                      <w:szCs w:val="15"/>
                    </w:rPr>
                    <w:t xml:space="preserve">      年   月</w:t>
                  </w:r>
                </w:p>
              </w:tc>
            </w:tr>
            <w:tr w14:paraId="768D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620" w:type="dxa"/>
                  <w:gridSpan w:val="2"/>
                  <w:vMerge w:val="restart"/>
                  <w:shd w:val="clear" w:color="auto" w:fill="auto"/>
                  <w:vAlign w:val="center"/>
                </w:tcPr>
                <w:p w14:paraId="23621114">
                  <w:pPr>
                    <w:pStyle w:val="4"/>
                    <w:jc w:val="center"/>
                    <w:rPr>
                      <w:sz w:val="15"/>
                      <w:szCs w:val="15"/>
                    </w:rPr>
                  </w:pPr>
                  <w:r>
                    <w:rPr>
                      <w:rFonts w:hint="eastAsia"/>
                      <w:sz w:val="15"/>
                      <w:szCs w:val="15"/>
                    </w:rPr>
                    <w:t>税</w:t>
                  </w:r>
                  <w:r>
                    <w:rPr>
                      <w:sz w:val="15"/>
                      <w:szCs w:val="15"/>
                    </w:rPr>
                    <w:t>（费）种</w:t>
                  </w:r>
                </w:p>
              </w:tc>
              <w:tc>
                <w:tcPr>
                  <w:tcW w:w="1257" w:type="dxa"/>
                  <w:gridSpan w:val="4"/>
                  <w:shd w:val="clear" w:color="auto" w:fill="auto"/>
                  <w:vAlign w:val="center"/>
                </w:tcPr>
                <w:p w14:paraId="08782DCC">
                  <w:pPr>
                    <w:pStyle w:val="4"/>
                    <w:jc w:val="center"/>
                    <w:rPr>
                      <w:sz w:val="15"/>
                      <w:szCs w:val="15"/>
                    </w:rPr>
                  </w:pPr>
                  <w:r>
                    <w:rPr>
                      <w:rFonts w:hint="eastAsia"/>
                      <w:sz w:val="15"/>
                      <w:szCs w:val="15"/>
                    </w:rPr>
                    <w:t>计税（费）依据</w:t>
                  </w:r>
                </w:p>
              </w:tc>
              <w:tc>
                <w:tcPr>
                  <w:tcW w:w="575" w:type="dxa"/>
                  <w:vMerge w:val="restart"/>
                  <w:shd w:val="clear" w:color="auto" w:fill="auto"/>
                  <w:vAlign w:val="center"/>
                </w:tcPr>
                <w:p w14:paraId="02F9D71D">
                  <w:pPr>
                    <w:pStyle w:val="4"/>
                    <w:jc w:val="center"/>
                    <w:rPr>
                      <w:sz w:val="15"/>
                      <w:szCs w:val="15"/>
                    </w:rPr>
                  </w:pPr>
                  <w:r>
                    <w:rPr>
                      <w:sz w:val="15"/>
                      <w:szCs w:val="15"/>
                    </w:rPr>
                    <w:t>税（费）率（%）</w:t>
                  </w:r>
                </w:p>
              </w:tc>
              <w:tc>
                <w:tcPr>
                  <w:tcW w:w="668" w:type="dxa"/>
                  <w:vMerge w:val="restart"/>
                  <w:shd w:val="clear" w:color="auto" w:fill="auto"/>
                  <w:vAlign w:val="center"/>
                </w:tcPr>
                <w:p w14:paraId="24F0C960">
                  <w:pPr>
                    <w:pStyle w:val="4"/>
                    <w:jc w:val="center"/>
                    <w:rPr>
                      <w:sz w:val="15"/>
                      <w:szCs w:val="15"/>
                    </w:rPr>
                  </w:pPr>
                  <w:r>
                    <w:rPr>
                      <w:rFonts w:hint="eastAsia"/>
                      <w:sz w:val="15"/>
                      <w:szCs w:val="15"/>
                    </w:rPr>
                    <w:t>本期</w:t>
                  </w:r>
                  <w:r>
                    <w:rPr>
                      <w:sz w:val="15"/>
                      <w:szCs w:val="15"/>
                    </w:rPr>
                    <w:br w:type="textWrapping"/>
                  </w:r>
                  <w:r>
                    <w:rPr>
                      <w:rFonts w:hint="eastAsia"/>
                      <w:sz w:val="15"/>
                      <w:szCs w:val="15"/>
                    </w:rPr>
                    <w:t>应纳税（费）额</w:t>
                  </w:r>
                </w:p>
              </w:tc>
              <w:tc>
                <w:tcPr>
                  <w:tcW w:w="1020" w:type="dxa"/>
                  <w:gridSpan w:val="3"/>
                  <w:shd w:val="clear" w:color="auto" w:fill="auto"/>
                  <w:vAlign w:val="center"/>
                </w:tcPr>
                <w:p w14:paraId="44C20816">
                  <w:pPr>
                    <w:pStyle w:val="4"/>
                    <w:jc w:val="center"/>
                    <w:rPr>
                      <w:sz w:val="15"/>
                      <w:szCs w:val="15"/>
                    </w:rPr>
                  </w:pPr>
                  <w:r>
                    <w:rPr>
                      <w:sz w:val="15"/>
                      <w:szCs w:val="15"/>
                    </w:rPr>
                    <w:t>本期减免</w:t>
                  </w:r>
                  <w:r>
                    <w:rPr>
                      <w:sz w:val="15"/>
                      <w:szCs w:val="15"/>
                    </w:rPr>
                    <w:br w:type="textWrapping"/>
                  </w:r>
                  <w:r>
                    <w:rPr>
                      <w:sz w:val="15"/>
                      <w:szCs w:val="15"/>
                    </w:rPr>
                    <w:t>税（费）额</w:t>
                  </w:r>
                </w:p>
              </w:tc>
              <w:tc>
                <w:tcPr>
                  <w:tcW w:w="1393" w:type="dxa"/>
                  <w:gridSpan w:val="2"/>
                  <w:vAlign w:val="center"/>
                </w:tcPr>
                <w:p w14:paraId="2558FC31">
                  <w:pPr>
                    <w:pStyle w:val="4"/>
                    <w:jc w:val="center"/>
                    <w:rPr>
                      <w:sz w:val="15"/>
                      <w:szCs w:val="15"/>
                    </w:rPr>
                  </w:pPr>
                  <w:r>
                    <w:rPr>
                      <w:rFonts w:hint="eastAsia"/>
                      <w:sz w:val="15"/>
                      <w:szCs w:val="15"/>
                    </w:rPr>
                    <w:t>小微企业“六税两费”减免政策</w:t>
                  </w:r>
                </w:p>
              </w:tc>
              <w:tc>
                <w:tcPr>
                  <w:tcW w:w="823" w:type="dxa"/>
                  <w:gridSpan w:val="3"/>
                  <w:shd w:val="clear" w:color="auto" w:fill="auto"/>
                  <w:vAlign w:val="center"/>
                </w:tcPr>
                <w:p w14:paraId="46911C74">
                  <w:pPr>
                    <w:pStyle w:val="4"/>
                    <w:jc w:val="center"/>
                    <w:rPr>
                      <w:sz w:val="15"/>
                      <w:szCs w:val="15"/>
                    </w:rPr>
                  </w:pPr>
                  <w:r>
                    <w:rPr>
                      <w:sz w:val="15"/>
                      <w:szCs w:val="15"/>
                    </w:rPr>
                    <w:t>试点建设培育产教融合型企业</w:t>
                  </w:r>
                </w:p>
              </w:tc>
              <w:tc>
                <w:tcPr>
                  <w:tcW w:w="575" w:type="dxa"/>
                  <w:gridSpan w:val="2"/>
                  <w:vMerge w:val="restart"/>
                  <w:shd w:val="clear" w:color="auto" w:fill="auto"/>
                  <w:vAlign w:val="center"/>
                </w:tcPr>
                <w:p w14:paraId="7A1549AC">
                  <w:pPr>
                    <w:pStyle w:val="4"/>
                    <w:jc w:val="center"/>
                    <w:rPr>
                      <w:sz w:val="15"/>
                      <w:szCs w:val="15"/>
                    </w:rPr>
                  </w:pPr>
                  <w:r>
                    <w:rPr>
                      <w:sz w:val="15"/>
                      <w:szCs w:val="15"/>
                    </w:rPr>
                    <w:t>本期已缴税（费）额</w:t>
                  </w:r>
                </w:p>
              </w:tc>
              <w:tc>
                <w:tcPr>
                  <w:tcW w:w="1149" w:type="dxa"/>
                  <w:vMerge w:val="restart"/>
                  <w:shd w:val="clear" w:color="auto" w:fill="auto"/>
                  <w:vAlign w:val="center"/>
                </w:tcPr>
                <w:p w14:paraId="572C4BC8">
                  <w:pPr>
                    <w:pStyle w:val="4"/>
                    <w:jc w:val="center"/>
                    <w:rPr>
                      <w:sz w:val="15"/>
                      <w:szCs w:val="15"/>
                    </w:rPr>
                  </w:pPr>
                  <w:r>
                    <w:rPr>
                      <w:sz w:val="15"/>
                      <w:szCs w:val="15"/>
                    </w:rPr>
                    <w:t>本期应补（退）</w:t>
                  </w:r>
                  <w:r>
                    <w:rPr>
                      <w:sz w:val="15"/>
                      <w:szCs w:val="15"/>
                    </w:rPr>
                    <w:br w:type="textWrapping"/>
                  </w:r>
                  <w:r>
                    <w:rPr>
                      <w:sz w:val="15"/>
                      <w:szCs w:val="15"/>
                    </w:rPr>
                    <w:t>税（费）额</w:t>
                  </w:r>
                </w:p>
              </w:tc>
            </w:tr>
            <w:tr w14:paraId="6599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0" w:hRule="atLeast"/>
                <w:jc w:val="center"/>
              </w:trPr>
              <w:tc>
                <w:tcPr>
                  <w:tcW w:w="620" w:type="dxa"/>
                  <w:gridSpan w:val="2"/>
                  <w:vMerge w:val="continue"/>
                  <w:shd w:val="clear" w:color="auto" w:fill="auto"/>
                  <w:vAlign w:val="center"/>
                </w:tcPr>
                <w:p w14:paraId="3C7C18B2">
                  <w:pPr>
                    <w:pStyle w:val="4"/>
                    <w:jc w:val="center"/>
                    <w:rPr>
                      <w:sz w:val="15"/>
                      <w:szCs w:val="15"/>
                    </w:rPr>
                  </w:pPr>
                </w:p>
              </w:tc>
              <w:tc>
                <w:tcPr>
                  <w:tcW w:w="428" w:type="dxa"/>
                  <w:shd w:val="clear" w:color="auto" w:fill="auto"/>
                  <w:vAlign w:val="center"/>
                </w:tcPr>
                <w:p w14:paraId="4E3AFCE2">
                  <w:pPr>
                    <w:pStyle w:val="4"/>
                    <w:jc w:val="center"/>
                    <w:rPr>
                      <w:sz w:val="15"/>
                      <w:szCs w:val="15"/>
                    </w:rPr>
                  </w:pPr>
                  <w:r>
                    <w:rPr>
                      <w:sz w:val="15"/>
                      <w:szCs w:val="15"/>
                    </w:rPr>
                    <w:t>增值税</w:t>
                  </w:r>
                  <w:r>
                    <w:rPr>
                      <w:sz w:val="15"/>
                      <w:szCs w:val="15"/>
                    </w:rPr>
                    <w:br w:type="textWrapping"/>
                  </w:r>
                  <w:r>
                    <w:rPr>
                      <w:sz w:val="15"/>
                      <w:szCs w:val="15"/>
                    </w:rPr>
                    <w:t>税额</w:t>
                  </w:r>
                </w:p>
              </w:tc>
              <w:tc>
                <w:tcPr>
                  <w:tcW w:w="416" w:type="dxa"/>
                  <w:shd w:val="clear" w:color="auto" w:fill="auto"/>
                  <w:vAlign w:val="center"/>
                </w:tcPr>
                <w:p w14:paraId="6665A6A7">
                  <w:pPr>
                    <w:pStyle w:val="4"/>
                    <w:jc w:val="center"/>
                    <w:rPr>
                      <w:sz w:val="15"/>
                      <w:szCs w:val="15"/>
                    </w:rPr>
                  </w:pPr>
                  <w:r>
                    <w:rPr>
                      <w:sz w:val="15"/>
                      <w:szCs w:val="15"/>
                    </w:rPr>
                    <w:t>增值税免抵</w:t>
                  </w:r>
                  <w:r>
                    <w:rPr>
                      <w:sz w:val="15"/>
                      <w:szCs w:val="15"/>
                    </w:rPr>
                    <w:br w:type="textWrapping"/>
                  </w:r>
                  <w:r>
                    <w:rPr>
                      <w:sz w:val="15"/>
                      <w:szCs w:val="15"/>
                    </w:rPr>
                    <w:t>税额</w:t>
                  </w:r>
                </w:p>
              </w:tc>
              <w:tc>
                <w:tcPr>
                  <w:tcW w:w="413" w:type="dxa"/>
                  <w:gridSpan w:val="2"/>
                  <w:shd w:val="clear" w:color="auto" w:fill="auto"/>
                  <w:vAlign w:val="center"/>
                </w:tcPr>
                <w:p w14:paraId="31DB8444">
                  <w:pPr>
                    <w:pStyle w:val="4"/>
                    <w:jc w:val="center"/>
                    <w:rPr>
                      <w:sz w:val="15"/>
                      <w:szCs w:val="15"/>
                    </w:rPr>
                  </w:pPr>
                  <w:r>
                    <w:rPr>
                      <w:sz w:val="15"/>
                      <w:szCs w:val="15"/>
                    </w:rPr>
                    <w:t>留抵退税本期扣除额</w:t>
                  </w:r>
                </w:p>
              </w:tc>
              <w:tc>
                <w:tcPr>
                  <w:tcW w:w="575" w:type="dxa"/>
                  <w:vMerge w:val="continue"/>
                  <w:shd w:val="clear" w:color="auto" w:fill="auto"/>
                  <w:vAlign w:val="center"/>
                </w:tcPr>
                <w:p w14:paraId="71F235E0">
                  <w:pPr>
                    <w:pStyle w:val="4"/>
                    <w:jc w:val="center"/>
                    <w:rPr>
                      <w:sz w:val="15"/>
                      <w:szCs w:val="15"/>
                    </w:rPr>
                  </w:pPr>
                </w:p>
              </w:tc>
              <w:tc>
                <w:tcPr>
                  <w:tcW w:w="668" w:type="dxa"/>
                  <w:vMerge w:val="continue"/>
                  <w:shd w:val="clear" w:color="auto" w:fill="auto"/>
                  <w:vAlign w:val="center"/>
                </w:tcPr>
                <w:p w14:paraId="2F083B2C">
                  <w:pPr>
                    <w:pStyle w:val="4"/>
                    <w:jc w:val="center"/>
                    <w:rPr>
                      <w:sz w:val="15"/>
                      <w:szCs w:val="15"/>
                    </w:rPr>
                  </w:pPr>
                </w:p>
              </w:tc>
              <w:tc>
                <w:tcPr>
                  <w:tcW w:w="445" w:type="dxa"/>
                  <w:shd w:val="clear" w:color="auto" w:fill="auto"/>
                  <w:vAlign w:val="center"/>
                </w:tcPr>
                <w:p w14:paraId="3D87FEDF">
                  <w:pPr>
                    <w:pStyle w:val="4"/>
                    <w:jc w:val="center"/>
                    <w:rPr>
                      <w:sz w:val="15"/>
                      <w:szCs w:val="15"/>
                    </w:rPr>
                  </w:pPr>
                  <w:r>
                    <w:rPr>
                      <w:sz w:val="15"/>
                      <w:szCs w:val="15"/>
                    </w:rPr>
                    <w:t>减免性质代码</w:t>
                  </w:r>
                </w:p>
              </w:tc>
              <w:tc>
                <w:tcPr>
                  <w:tcW w:w="575" w:type="dxa"/>
                  <w:gridSpan w:val="2"/>
                  <w:shd w:val="clear" w:color="auto" w:fill="auto"/>
                  <w:vAlign w:val="center"/>
                </w:tcPr>
                <w:p w14:paraId="1442F58F">
                  <w:pPr>
                    <w:pStyle w:val="4"/>
                    <w:jc w:val="center"/>
                    <w:rPr>
                      <w:sz w:val="15"/>
                      <w:szCs w:val="15"/>
                    </w:rPr>
                  </w:pPr>
                  <w:r>
                    <w:rPr>
                      <w:sz w:val="15"/>
                      <w:szCs w:val="15"/>
                    </w:rPr>
                    <w:t>减免税（费）额</w:t>
                  </w:r>
                </w:p>
              </w:tc>
              <w:tc>
                <w:tcPr>
                  <w:tcW w:w="753" w:type="dxa"/>
                  <w:vAlign w:val="center"/>
                </w:tcPr>
                <w:p w14:paraId="1BD40688">
                  <w:pPr>
                    <w:pStyle w:val="4"/>
                    <w:jc w:val="center"/>
                    <w:rPr>
                      <w:sz w:val="15"/>
                      <w:szCs w:val="15"/>
                    </w:rPr>
                  </w:pPr>
                  <w:r>
                    <w:rPr>
                      <w:rFonts w:hint="eastAsia"/>
                      <w:sz w:val="15"/>
                      <w:szCs w:val="15"/>
                    </w:rPr>
                    <w:t>减征比例（%）</w:t>
                  </w:r>
                </w:p>
              </w:tc>
              <w:tc>
                <w:tcPr>
                  <w:tcW w:w="640" w:type="dxa"/>
                  <w:vAlign w:val="center"/>
                </w:tcPr>
                <w:p w14:paraId="278EDA26">
                  <w:pPr>
                    <w:pStyle w:val="4"/>
                    <w:jc w:val="center"/>
                    <w:rPr>
                      <w:sz w:val="15"/>
                      <w:szCs w:val="15"/>
                    </w:rPr>
                  </w:pPr>
                  <w:r>
                    <w:rPr>
                      <w:rFonts w:hint="eastAsia"/>
                      <w:sz w:val="15"/>
                      <w:szCs w:val="15"/>
                    </w:rPr>
                    <w:t>减征额</w:t>
                  </w:r>
                </w:p>
              </w:tc>
              <w:tc>
                <w:tcPr>
                  <w:tcW w:w="413" w:type="dxa"/>
                  <w:gridSpan w:val="2"/>
                  <w:shd w:val="clear" w:color="auto" w:fill="auto"/>
                  <w:vAlign w:val="center"/>
                </w:tcPr>
                <w:p w14:paraId="5AC1ADE3">
                  <w:pPr>
                    <w:pStyle w:val="4"/>
                    <w:jc w:val="center"/>
                    <w:rPr>
                      <w:sz w:val="15"/>
                      <w:szCs w:val="15"/>
                    </w:rPr>
                  </w:pPr>
                  <w:r>
                    <w:rPr>
                      <w:sz w:val="15"/>
                      <w:szCs w:val="15"/>
                    </w:rPr>
                    <w:t>减免性质代码</w:t>
                  </w:r>
                </w:p>
              </w:tc>
              <w:tc>
                <w:tcPr>
                  <w:tcW w:w="410" w:type="dxa"/>
                  <w:shd w:val="clear" w:color="auto" w:fill="auto"/>
                  <w:vAlign w:val="center"/>
                </w:tcPr>
                <w:p w14:paraId="24A81430">
                  <w:pPr>
                    <w:pStyle w:val="4"/>
                    <w:jc w:val="center"/>
                    <w:rPr>
                      <w:sz w:val="15"/>
                      <w:szCs w:val="15"/>
                    </w:rPr>
                  </w:pPr>
                  <w:r>
                    <w:rPr>
                      <w:sz w:val="15"/>
                      <w:szCs w:val="15"/>
                    </w:rPr>
                    <w:t>本期抵免金额</w:t>
                  </w:r>
                </w:p>
              </w:tc>
              <w:tc>
                <w:tcPr>
                  <w:tcW w:w="575" w:type="dxa"/>
                  <w:gridSpan w:val="2"/>
                  <w:vMerge w:val="continue"/>
                  <w:shd w:val="clear" w:color="auto" w:fill="auto"/>
                  <w:vAlign w:val="center"/>
                </w:tcPr>
                <w:p w14:paraId="0F160267">
                  <w:pPr>
                    <w:pStyle w:val="4"/>
                    <w:jc w:val="center"/>
                    <w:rPr>
                      <w:sz w:val="15"/>
                      <w:szCs w:val="15"/>
                    </w:rPr>
                  </w:pPr>
                </w:p>
              </w:tc>
              <w:tc>
                <w:tcPr>
                  <w:tcW w:w="1149" w:type="dxa"/>
                  <w:vMerge w:val="continue"/>
                  <w:shd w:val="clear" w:color="auto" w:fill="auto"/>
                  <w:vAlign w:val="center"/>
                </w:tcPr>
                <w:p w14:paraId="77C94BFD">
                  <w:pPr>
                    <w:pStyle w:val="4"/>
                    <w:jc w:val="center"/>
                    <w:rPr>
                      <w:sz w:val="15"/>
                      <w:szCs w:val="15"/>
                    </w:rPr>
                  </w:pPr>
                </w:p>
              </w:tc>
            </w:tr>
            <w:tr w14:paraId="730B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620" w:type="dxa"/>
                  <w:gridSpan w:val="2"/>
                  <w:vMerge w:val="continue"/>
                  <w:shd w:val="clear" w:color="auto" w:fill="auto"/>
                  <w:vAlign w:val="center"/>
                </w:tcPr>
                <w:p w14:paraId="0E7C0593">
                  <w:pPr>
                    <w:pStyle w:val="4"/>
                    <w:jc w:val="center"/>
                    <w:rPr>
                      <w:sz w:val="15"/>
                      <w:szCs w:val="15"/>
                    </w:rPr>
                  </w:pPr>
                </w:p>
              </w:tc>
              <w:tc>
                <w:tcPr>
                  <w:tcW w:w="428" w:type="dxa"/>
                  <w:shd w:val="clear" w:color="auto" w:fill="auto"/>
                  <w:vAlign w:val="center"/>
                </w:tcPr>
                <w:p w14:paraId="459C58F8">
                  <w:pPr>
                    <w:pStyle w:val="4"/>
                    <w:jc w:val="center"/>
                    <w:rPr>
                      <w:sz w:val="15"/>
                      <w:szCs w:val="15"/>
                    </w:rPr>
                  </w:pPr>
                  <w:r>
                    <w:rPr>
                      <w:rFonts w:hint="eastAsia"/>
                      <w:sz w:val="15"/>
                      <w:szCs w:val="15"/>
                    </w:rPr>
                    <w:t>1</w:t>
                  </w:r>
                </w:p>
              </w:tc>
              <w:tc>
                <w:tcPr>
                  <w:tcW w:w="416" w:type="dxa"/>
                  <w:shd w:val="clear" w:color="auto" w:fill="auto"/>
                  <w:vAlign w:val="center"/>
                </w:tcPr>
                <w:p w14:paraId="2CB005A4">
                  <w:pPr>
                    <w:pStyle w:val="4"/>
                    <w:jc w:val="center"/>
                    <w:rPr>
                      <w:sz w:val="15"/>
                      <w:szCs w:val="15"/>
                    </w:rPr>
                  </w:pPr>
                  <w:r>
                    <w:rPr>
                      <w:rFonts w:hint="eastAsia"/>
                      <w:sz w:val="15"/>
                      <w:szCs w:val="15"/>
                    </w:rPr>
                    <w:t>2</w:t>
                  </w:r>
                </w:p>
              </w:tc>
              <w:tc>
                <w:tcPr>
                  <w:tcW w:w="413" w:type="dxa"/>
                  <w:gridSpan w:val="2"/>
                  <w:shd w:val="clear" w:color="auto" w:fill="auto"/>
                  <w:vAlign w:val="center"/>
                </w:tcPr>
                <w:p w14:paraId="1E3BA5B1">
                  <w:pPr>
                    <w:pStyle w:val="4"/>
                    <w:jc w:val="center"/>
                    <w:rPr>
                      <w:sz w:val="15"/>
                      <w:szCs w:val="15"/>
                    </w:rPr>
                  </w:pPr>
                  <w:r>
                    <w:rPr>
                      <w:rFonts w:hint="eastAsia"/>
                      <w:sz w:val="15"/>
                      <w:szCs w:val="15"/>
                    </w:rPr>
                    <w:t>3</w:t>
                  </w:r>
                </w:p>
              </w:tc>
              <w:tc>
                <w:tcPr>
                  <w:tcW w:w="575" w:type="dxa"/>
                  <w:shd w:val="clear" w:color="auto" w:fill="auto"/>
                  <w:vAlign w:val="center"/>
                </w:tcPr>
                <w:p w14:paraId="6BE539F9">
                  <w:pPr>
                    <w:pStyle w:val="4"/>
                    <w:jc w:val="center"/>
                    <w:rPr>
                      <w:sz w:val="15"/>
                      <w:szCs w:val="15"/>
                    </w:rPr>
                  </w:pPr>
                  <w:r>
                    <w:rPr>
                      <w:rFonts w:hint="eastAsia"/>
                      <w:sz w:val="15"/>
                      <w:szCs w:val="15"/>
                    </w:rPr>
                    <w:t>4</w:t>
                  </w:r>
                </w:p>
              </w:tc>
              <w:tc>
                <w:tcPr>
                  <w:tcW w:w="668" w:type="dxa"/>
                  <w:shd w:val="clear" w:color="auto" w:fill="auto"/>
                  <w:vAlign w:val="center"/>
                </w:tcPr>
                <w:p w14:paraId="7CFA29E1">
                  <w:pPr>
                    <w:pStyle w:val="4"/>
                    <w:jc w:val="center"/>
                    <w:rPr>
                      <w:sz w:val="15"/>
                      <w:szCs w:val="15"/>
                    </w:rPr>
                  </w:pPr>
                  <w:r>
                    <w:rPr>
                      <w:rFonts w:hint="eastAsia"/>
                      <w:sz w:val="15"/>
                      <w:szCs w:val="15"/>
                    </w:rPr>
                    <w:t>5=（</w:t>
                  </w:r>
                  <w:r>
                    <w:rPr>
                      <w:sz w:val="15"/>
                      <w:szCs w:val="15"/>
                    </w:rPr>
                    <w:t>1+2−</w:t>
                  </w:r>
                  <w:r>
                    <w:rPr>
                      <w:sz w:val="15"/>
                      <w:szCs w:val="15"/>
                    </w:rPr>
                    <w:br w:type="textWrapping"/>
                  </w:r>
                  <w:r>
                    <w:rPr>
                      <w:sz w:val="15"/>
                      <w:szCs w:val="15"/>
                    </w:rPr>
                    <w:t>3）×4</w:t>
                  </w:r>
                </w:p>
              </w:tc>
              <w:tc>
                <w:tcPr>
                  <w:tcW w:w="445" w:type="dxa"/>
                  <w:shd w:val="clear" w:color="auto" w:fill="auto"/>
                  <w:vAlign w:val="center"/>
                </w:tcPr>
                <w:p w14:paraId="5876B040">
                  <w:pPr>
                    <w:pStyle w:val="4"/>
                    <w:jc w:val="center"/>
                    <w:rPr>
                      <w:sz w:val="15"/>
                      <w:szCs w:val="15"/>
                    </w:rPr>
                  </w:pPr>
                  <w:r>
                    <w:rPr>
                      <w:sz w:val="15"/>
                      <w:szCs w:val="15"/>
                    </w:rPr>
                    <w:t>6</w:t>
                  </w:r>
                </w:p>
              </w:tc>
              <w:tc>
                <w:tcPr>
                  <w:tcW w:w="575" w:type="dxa"/>
                  <w:gridSpan w:val="2"/>
                  <w:shd w:val="clear" w:color="auto" w:fill="auto"/>
                  <w:vAlign w:val="center"/>
                </w:tcPr>
                <w:p w14:paraId="21368F69">
                  <w:pPr>
                    <w:pStyle w:val="4"/>
                    <w:jc w:val="center"/>
                    <w:rPr>
                      <w:sz w:val="15"/>
                      <w:szCs w:val="15"/>
                    </w:rPr>
                  </w:pPr>
                  <w:r>
                    <w:rPr>
                      <w:rFonts w:hint="eastAsia"/>
                      <w:sz w:val="15"/>
                      <w:szCs w:val="15"/>
                    </w:rPr>
                    <w:t>7</w:t>
                  </w:r>
                </w:p>
              </w:tc>
              <w:tc>
                <w:tcPr>
                  <w:tcW w:w="753" w:type="dxa"/>
                  <w:vAlign w:val="center"/>
                </w:tcPr>
                <w:p w14:paraId="78B7DC7C">
                  <w:pPr>
                    <w:pStyle w:val="4"/>
                    <w:jc w:val="center"/>
                    <w:rPr>
                      <w:sz w:val="15"/>
                      <w:szCs w:val="15"/>
                    </w:rPr>
                  </w:pPr>
                  <w:r>
                    <w:rPr>
                      <w:rFonts w:hint="eastAsia"/>
                      <w:sz w:val="15"/>
                      <w:szCs w:val="15"/>
                    </w:rPr>
                    <w:t>8</w:t>
                  </w:r>
                </w:p>
              </w:tc>
              <w:tc>
                <w:tcPr>
                  <w:tcW w:w="640" w:type="dxa"/>
                  <w:vAlign w:val="center"/>
                </w:tcPr>
                <w:p w14:paraId="488145DC">
                  <w:pPr>
                    <w:pStyle w:val="4"/>
                    <w:jc w:val="center"/>
                    <w:rPr>
                      <w:sz w:val="15"/>
                      <w:szCs w:val="15"/>
                    </w:rPr>
                  </w:pPr>
                  <w:r>
                    <w:rPr>
                      <w:rFonts w:hint="eastAsia"/>
                      <w:sz w:val="15"/>
                      <w:szCs w:val="15"/>
                    </w:rPr>
                    <w:t>9</w:t>
                  </w:r>
                  <w:r>
                    <w:rPr>
                      <w:sz w:val="15"/>
                      <w:szCs w:val="15"/>
                    </w:rPr>
                    <w:t>=</w:t>
                  </w:r>
                  <w:r>
                    <w:rPr>
                      <w:rFonts w:hint="eastAsia"/>
                      <w:sz w:val="15"/>
                      <w:szCs w:val="15"/>
                    </w:rPr>
                    <w:t>（</w:t>
                  </w:r>
                  <w:r>
                    <w:rPr>
                      <w:sz w:val="15"/>
                      <w:szCs w:val="15"/>
                    </w:rPr>
                    <w:t>5−7）×8</w:t>
                  </w:r>
                </w:p>
              </w:tc>
              <w:tc>
                <w:tcPr>
                  <w:tcW w:w="413" w:type="dxa"/>
                  <w:gridSpan w:val="2"/>
                  <w:shd w:val="clear" w:color="auto" w:fill="auto"/>
                  <w:vAlign w:val="center"/>
                </w:tcPr>
                <w:p w14:paraId="5737767A">
                  <w:pPr>
                    <w:pStyle w:val="4"/>
                    <w:jc w:val="center"/>
                    <w:rPr>
                      <w:sz w:val="15"/>
                      <w:szCs w:val="15"/>
                    </w:rPr>
                  </w:pPr>
                  <w:r>
                    <w:rPr>
                      <w:rFonts w:hint="eastAsia"/>
                      <w:sz w:val="15"/>
                      <w:szCs w:val="15"/>
                    </w:rPr>
                    <w:t>1</w:t>
                  </w:r>
                  <w:r>
                    <w:rPr>
                      <w:sz w:val="15"/>
                      <w:szCs w:val="15"/>
                    </w:rPr>
                    <w:t>0</w:t>
                  </w:r>
                </w:p>
              </w:tc>
              <w:tc>
                <w:tcPr>
                  <w:tcW w:w="410" w:type="dxa"/>
                  <w:shd w:val="clear" w:color="auto" w:fill="auto"/>
                  <w:vAlign w:val="center"/>
                </w:tcPr>
                <w:p w14:paraId="74DCD58D">
                  <w:pPr>
                    <w:pStyle w:val="4"/>
                    <w:jc w:val="center"/>
                    <w:rPr>
                      <w:sz w:val="15"/>
                      <w:szCs w:val="15"/>
                    </w:rPr>
                  </w:pPr>
                  <w:r>
                    <w:rPr>
                      <w:rFonts w:hint="eastAsia"/>
                      <w:sz w:val="15"/>
                      <w:szCs w:val="15"/>
                    </w:rPr>
                    <w:t>1</w:t>
                  </w:r>
                  <w:r>
                    <w:rPr>
                      <w:sz w:val="15"/>
                      <w:szCs w:val="15"/>
                    </w:rPr>
                    <w:t>1</w:t>
                  </w:r>
                </w:p>
              </w:tc>
              <w:tc>
                <w:tcPr>
                  <w:tcW w:w="575" w:type="dxa"/>
                  <w:gridSpan w:val="2"/>
                  <w:shd w:val="clear" w:color="auto" w:fill="auto"/>
                  <w:vAlign w:val="center"/>
                </w:tcPr>
                <w:p w14:paraId="11C19C7E">
                  <w:pPr>
                    <w:pStyle w:val="4"/>
                    <w:jc w:val="center"/>
                    <w:rPr>
                      <w:sz w:val="15"/>
                      <w:szCs w:val="15"/>
                    </w:rPr>
                  </w:pPr>
                  <w:r>
                    <w:rPr>
                      <w:rFonts w:hint="eastAsia"/>
                      <w:sz w:val="15"/>
                      <w:szCs w:val="15"/>
                    </w:rPr>
                    <w:t>1</w:t>
                  </w:r>
                  <w:r>
                    <w:rPr>
                      <w:sz w:val="15"/>
                      <w:szCs w:val="15"/>
                    </w:rPr>
                    <w:t>2</w:t>
                  </w:r>
                </w:p>
              </w:tc>
              <w:tc>
                <w:tcPr>
                  <w:tcW w:w="1149" w:type="dxa"/>
                  <w:shd w:val="clear" w:color="auto" w:fill="auto"/>
                  <w:vAlign w:val="center"/>
                </w:tcPr>
                <w:p w14:paraId="3781E11D">
                  <w:pPr>
                    <w:pStyle w:val="4"/>
                    <w:jc w:val="center"/>
                    <w:rPr>
                      <w:sz w:val="15"/>
                      <w:szCs w:val="15"/>
                    </w:rPr>
                  </w:pPr>
                  <w:r>
                    <w:rPr>
                      <w:rFonts w:hint="eastAsia"/>
                      <w:sz w:val="15"/>
                      <w:szCs w:val="15"/>
                    </w:rPr>
                    <w:t>1</w:t>
                  </w:r>
                  <w:r>
                    <w:rPr>
                      <w:sz w:val="15"/>
                      <w:szCs w:val="15"/>
                    </w:rPr>
                    <w:t>3=5−7−9−11−12</w:t>
                  </w:r>
                </w:p>
              </w:tc>
            </w:tr>
            <w:tr w14:paraId="075D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371" w:type="dxa"/>
                  <w:shd w:val="clear" w:color="auto" w:fill="auto"/>
                  <w:vAlign w:val="center"/>
                </w:tcPr>
                <w:p w14:paraId="2ECDF67F">
                  <w:pPr>
                    <w:pStyle w:val="4"/>
                    <w:jc w:val="center"/>
                    <w:rPr>
                      <w:sz w:val="15"/>
                      <w:szCs w:val="15"/>
                    </w:rPr>
                  </w:pPr>
                  <w:r>
                    <w:rPr>
                      <w:sz w:val="15"/>
                      <w:szCs w:val="15"/>
                    </w:rPr>
                    <w:t>城市维护建</w:t>
                  </w:r>
                  <w:r>
                    <w:rPr>
                      <w:sz w:val="15"/>
                      <w:szCs w:val="15"/>
                    </w:rPr>
                    <w:br w:type="textWrapping"/>
                  </w:r>
                  <w:r>
                    <w:rPr>
                      <w:sz w:val="15"/>
                      <w:szCs w:val="15"/>
                    </w:rPr>
                    <w:t>设税</w:t>
                  </w:r>
                </w:p>
              </w:tc>
              <w:tc>
                <w:tcPr>
                  <w:tcW w:w="249" w:type="dxa"/>
                  <w:shd w:val="clear" w:color="auto" w:fill="auto"/>
                  <w:vAlign w:val="center"/>
                </w:tcPr>
                <w:p w14:paraId="60F23CE4">
                  <w:pPr>
                    <w:pStyle w:val="4"/>
                    <w:jc w:val="center"/>
                    <w:rPr>
                      <w:sz w:val="15"/>
                      <w:szCs w:val="15"/>
                    </w:rPr>
                  </w:pPr>
                  <w:r>
                    <w:rPr>
                      <w:rFonts w:hint="eastAsia"/>
                      <w:sz w:val="15"/>
                      <w:szCs w:val="15"/>
                    </w:rPr>
                    <w:t>1</w:t>
                  </w:r>
                </w:p>
              </w:tc>
              <w:tc>
                <w:tcPr>
                  <w:tcW w:w="428" w:type="dxa"/>
                  <w:shd w:val="clear" w:color="auto" w:fill="auto"/>
                  <w:vAlign w:val="center"/>
                </w:tcPr>
                <w:p w14:paraId="75022897">
                  <w:pPr>
                    <w:pStyle w:val="4"/>
                    <w:jc w:val="center"/>
                    <w:rPr>
                      <w:sz w:val="15"/>
                      <w:szCs w:val="15"/>
                    </w:rPr>
                  </w:pPr>
                </w:p>
              </w:tc>
              <w:tc>
                <w:tcPr>
                  <w:tcW w:w="416" w:type="dxa"/>
                  <w:shd w:val="clear" w:color="auto" w:fill="auto"/>
                  <w:vAlign w:val="center"/>
                </w:tcPr>
                <w:p w14:paraId="0DBCCE1E">
                  <w:pPr>
                    <w:pStyle w:val="4"/>
                    <w:jc w:val="center"/>
                    <w:rPr>
                      <w:sz w:val="15"/>
                      <w:szCs w:val="15"/>
                    </w:rPr>
                  </w:pPr>
                </w:p>
              </w:tc>
              <w:tc>
                <w:tcPr>
                  <w:tcW w:w="413" w:type="dxa"/>
                  <w:gridSpan w:val="2"/>
                  <w:shd w:val="clear" w:color="auto" w:fill="auto"/>
                  <w:vAlign w:val="center"/>
                </w:tcPr>
                <w:p w14:paraId="1CDA2511">
                  <w:pPr>
                    <w:pStyle w:val="4"/>
                    <w:jc w:val="center"/>
                    <w:rPr>
                      <w:sz w:val="15"/>
                      <w:szCs w:val="15"/>
                    </w:rPr>
                  </w:pPr>
                </w:p>
              </w:tc>
              <w:tc>
                <w:tcPr>
                  <w:tcW w:w="575" w:type="dxa"/>
                  <w:shd w:val="clear" w:color="auto" w:fill="auto"/>
                  <w:vAlign w:val="center"/>
                </w:tcPr>
                <w:p w14:paraId="0FB02D2E">
                  <w:pPr>
                    <w:pStyle w:val="4"/>
                    <w:jc w:val="center"/>
                    <w:rPr>
                      <w:sz w:val="15"/>
                      <w:szCs w:val="15"/>
                    </w:rPr>
                  </w:pPr>
                </w:p>
              </w:tc>
              <w:tc>
                <w:tcPr>
                  <w:tcW w:w="668" w:type="dxa"/>
                  <w:shd w:val="clear" w:color="auto" w:fill="auto"/>
                  <w:vAlign w:val="center"/>
                </w:tcPr>
                <w:p w14:paraId="69274DCF">
                  <w:pPr>
                    <w:pStyle w:val="4"/>
                    <w:jc w:val="center"/>
                    <w:rPr>
                      <w:sz w:val="15"/>
                      <w:szCs w:val="15"/>
                    </w:rPr>
                  </w:pPr>
                </w:p>
              </w:tc>
              <w:tc>
                <w:tcPr>
                  <w:tcW w:w="445" w:type="dxa"/>
                  <w:shd w:val="clear" w:color="auto" w:fill="auto"/>
                  <w:vAlign w:val="center"/>
                </w:tcPr>
                <w:p w14:paraId="5574B772">
                  <w:pPr>
                    <w:pStyle w:val="4"/>
                    <w:jc w:val="center"/>
                    <w:rPr>
                      <w:sz w:val="15"/>
                      <w:szCs w:val="15"/>
                    </w:rPr>
                  </w:pPr>
                </w:p>
              </w:tc>
              <w:tc>
                <w:tcPr>
                  <w:tcW w:w="575" w:type="dxa"/>
                  <w:gridSpan w:val="2"/>
                  <w:shd w:val="clear" w:color="auto" w:fill="auto"/>
                  <w:vAlign w:val="center"/>
                </w:tcPr>
                <w:p w14:paraId="7855D724">
                  <w:pPr>
                    <w:pStyle w:val="4"/>
                    <w:jc w:val="center"/>
                    <w:rPr>
                      <w:sz w:val="15"/>
                      <w:szCs w:val="15"/>
                    </w:rPr>
                  </w:pPr>
                </w:p>
              </w:tc>
              <w:tc>
                <w:tcPr>
                  <w:tcW w:w="753" w:type="dxa"/>
                </w:tcPr>
                <w:p w14:paraId="19642092">
                  <w:pPr>
                    <w:pStyle w:val="4"/>
                    <w:jc w:val="center"/>
                    <w:rPr>
                      <w:sz w:val="15"/>
                      <w:szCs w:val="15"/>
                    </w:rPr>
                  </w:pPr>
                </w:p>
              </w:tc>
              <w:tc>
                <w:tcPr>
                  <w:tcW w:w="640" w:type="dxa"/>
                </w:tcPr>
                <w:p w14:paraId="2CDFCABE">
                  <w:pPr>
                    <w:pStyle w:val="4"/>
                    <w:jc w:val="center"/>
                    <w:rPr>
                      <w:sz w:val="15"/>
                      <w:szCs w:val="15"/>
                    </w:rPr>
                  </w:pPr>
                </w:p>
              </w:tc>
              <w:tc>
                <w:tcPr>
                  <w:tcW w:w="413" w:type="dxa"/>
                  <w:gridSpan w:val="2"/>
                  <w:shd w:val="clear" w:color="auto" w:fill="auto"/>
                  <w:vAlign w:val="center"/>
                </w:tcPr>
                <w:p w14:paraId="3F1426BF">
                  <w:pPr>
                    <w:pStyle w:val="4"/>
                    <w:jc w:val="center"/>
                    <w:rPr>
                      <w:rFonts w:ascii="宋体" w:hAnsi="宋体"/>
                      <w:sz w:val="15"/>
                      <w:szCs w:val="15"/>
                    </w:rPr>
                  </w:pPr>
                  <w:r>
                    <w:rPr>
                      <w:rFonts w:ascii="宋体" w:hAnsi="宋体"/>
                      <w:sz w:val="15"/>
                      <w:szCs w:val="15"/>
                    </w:rPr>
                    <w:t>—</w:t>
                  </w:r>
                </w:p>
              </w:tc>
              <w:tc>
                <w:tcPr>
                  <w:tcW w:w="410" w:type="dxa"/>
                  <w:shd w:val="clear" w:color="auto" w:fill="auto"/>
                  <w:vAlign w:val="center"/>
                </w:tcPr>
                <w:p w14:paraId="526B33C7">
                  <w:pPr>
                    <w:pStyle w:val="4"/>
                    <w:jc w:val="center"/>
                    <w:rPr>
                      <w:sz w:val="15"/>
                      <w:szCs w:val="15"/>
                    </w:rPr>
                  </w:pPr>
                  <w:r>
                    <w:rPr>
                      <w:rFonts w:ascii="宋体" w:hAnsi="宋体"/>
                      <w:sz w:val="15"/>
                      <w:szCs w:val="15"/>
                    </w:rPr>
                    <w:t>—</w:t>
                  </w:r>
                </w:p>
              </w:tc>
              <w:tc>
                <w:tcPr>
                  <w:tcW w:w="575" w:type="dxa"/>
                  <w:gridSpan w:val="2"/>
                  <w:shd w:val="clear" w:color="auto" w:fill="auto"/>
                  <w:vAlign w:val="center"/>
                </w:tcPr>
                <w:p w14:paraId="5EE60E52">
                  <w:pPr>
                    <w:pStyle w:val="4"/>
                    <w:jc w:val="center"/>
                    <w:rPr>
                      <w:sz w:val="15"/>
                      <w:szCs w:val="15"/>
                    </w:rPr>
                  </w:pPr>
                </w:p>
              </w:tc>
              <w:tc>
                <w:tcPr>
                  <w:tcW w:w="1149" w:type="dxa"/>
                  <w:shd w:val="clear" w:color="auto" w:fill="auto"/>
                  <w:vAlign w:val="center"/>
                </w:tcPr>
                <w:p w14:paraId="02DCA602">
                  <w:pPr>
                    <w:pStyle w:val="4"/>
                    <w:jc w:val="center"/>
                    <w:rPr>
                      <w:sz w:val="15"/>
                      <w:szCs w:val="15"/>
                    </w:rPr>
                  </w:pPr>
                </w:p>
              </w:tc>
            </w:tr>
            <w:tr w14:paraId="4681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371" w:type="dxa"/>
                  <w:shd w:val="clear" w:color="auto" w:fill="auto"/>
                  <w:vAlign w:val="center"/>
                </w:tcPr>
                <w:p w14:paraId="35D4D14F">
                  <w:pPr>
                    <w:pStyle w:val="4"/>
                    <w:jc w:val="center"/>
                    <w:rPr>
                      <w:sz w:val="15"/>
                      <w:szCs w:val="15"/>
                    </w:rPr>
                  </w:pPr>
                  <w:r>
                    <w:rPr>
                      <w:sz w:val="15"/>
                      <w:szCs w:val="15"/>
                    </w:rPr>
                    <w:t>教育费</w:t>
                  </w:r>
                  <w:r>
                    <w:rPr>
                      <w:sz w:val="15"/>
                      <w:szCs w:val="15"/>
                    </w:rPr>
                    <w:br w:type="textWrapping"/>
                  </w:r>
                  <w:r>
                    <w:rPr>
                      <w:sz w:val="15"/>
                      <w:szCs w:val="15"/>
                    </w:rPr>
                    <w:t>附加</w:t>
                  </w:r>
                </w:p>
              </w:tc>
              <w:tc>
                <w:tcPr>
                  <w:tcW w:w="249" w:type="dxa"/>
                  <w:shd w:val="clear" w:color="auto" w:fill="auto"/>
                  <w:vAlign w:val="center"/>
                </w:tcPr>
                <w:p w14:paraId="3CE3CBF2">
                  <w:pPr>
                    <w:pStyle w:val="4"/>
                    <w:jc w:val="center"/>
                    <w:rPr>
                      <w:sz w:val="15"/>
                      <w:szCs w:val="15"/>
                    </w:rPr>
                  </w:pPr>
                  <w:r>
                    <w:rPr>
                      <w:rFonts w:hint="eastAsia"/>
                      <w:sz w:val="15"/>
                      <w:szCs w:val="15"/>
                    </w:rPr>
                    <w:t>2</w:t>
                  </w:r>
                </w:p>
              </w:tc>
              <w:tc>
                <w:tcPr>
                  <w:tcW w:w="428" w:type="dxa"/>
                  <w:shd w:val="clear" w:color="auto" w:fill="auto"/>
                  <w:vAlign w:val="center"/>
                </w:tcPr>
                <w:p w14:paraId="3906392B">
                  <w:pPr>
                    <w:pStyle w:val="4"/>
                    <w:jc w:val="center"/>
                    <w:rPr>
                      <w:sz w:val="15"/>
                      <w:szCs w:val="15"/>
                    </w:rPr>
                  </w:pPr>
                </w:p>
              </w:tc>
              <w:tc>
                <w:tcPr>
                  <w:tcW w:w="416" w:type="dxa"/>
                  <w:shd w:val="clear" w:color="auto" w:fill="auto"/>
                  <w:vAlign w:val="center"/>
                </w:tcPr>
                <w:p w14:paraId="5761204C">
                  <w:pPr>
                    <w:pStyle w:val="4"/>
                    <w:jc w:val="center"/>
                    <w:rPr>
                      <w:sz w:val="15"/>
                      <w:szCs w:val="15"/>
                    </w:rPr>
                  </w:pPr>
                </w:p>
              </w:tc>
              <w:tc>
                <w:tcPr>
                  <w:tcW w:w="413" w:type="dxa"/>
                  <w:gridSpan w:val="2"/>
                  <w:shd w:val="clear" w:color="auto" w:fill="auto"/>
                  <w:vAlign w:val="center"/>
                </w:tcPr>
                <w:p w14:paraId="58565DD1">
                  <w:pPr>
                    <w:pStyle w:val="4"/>
                    <w:jc w:val="center"/>
                    <w:rPr>
                      <w:sz w:val="15"/>
                      <w:szCs w:val="15"/>
                    </w:rPr>
                  </w:pPr>
                </w:p>
              </w:tc>
              <w:tc>
                <w:tcPr>
                  <w:tcW w:w="575" w:type="dxa"/>
                  <w:shd w:val="clear" w:color="auto" w:fill="auto"/>
                  <w:vAlign w:val="center"/>
                </w:tcPr>
                <w:p w14:paraId="121E3ACB">
                  <w:pPr>
                    <w:pStyle w:val="4"/>
                    <w:jc w:val="center"/>
                    <w:rPr>
                      <w:sz w:val="15"/>
                      <w:szCs w:val="15"/>
                    </w:rPr>
                  </w:pPr>
                </w:p>
              </w:tc>
              <w:tc>
                <w:tcPr>
                  <w:tcW w:w="668" w:type="dxa"/>
                  <w:shd w:val="clear" w:color="auto" w:fill="auto"/>
                  <w:vAlign w:val="center"/>
                </w:tcPr>
                <w:p w14:paraId="098A9AED">
                  <w:pPr>
                    <w:pStyle w:val="4"/>
                    <w:jc w:val="center"/>
                    <w:rPr>
                      <w:sz w:val="15"/>
                      <w:szCs w:val="15"/>
                    </w:rPr>
                  </w:pPr>
                </w:p>
              </w:tc>
              <w:tc>
                <w:tcPr>
                  <w:tcW w:w="445" w:type="dxa"/>
                  <w:shd w:val="clear" w:color="auto" w:fill="auto"/>
                  <w:vAlign w:val="center"/>
                </w:tcPr>
                <w:p w14:paraId="41B42BF0">
                  <w:pPr>
                    <w:pStyle w:val="4"/>
                    <w:jc w:val="center"/>
                    <w:rPr>
                      <w:sz w:val="15"/>
                      <w:szCs w:val="15"/>
                    </w:rPr>
                  </w:pPr>
                </w:p>
              </w:tc>
              <w:tc>
                <w:tcPr>
                  <w:tcW w:w="575" w:type="dxa"/>
                  <w:gridSpan w:val="2"/>
                  <w:shd w:val="clear" w:color="auto" w:fill="auto"/>
                  <w:vAlign w:val="center"/>
                </w:tcPr>
                <w:p w14:paraId="0221A3E7">
                  <w:pPr>
                    <w:pStyle w:val="4"/>
                    <w:jc w:val="center"/>
                    <w:rPr>
                      <w:sz w:val="15"/>
                      <w:szCs w:val="15"/>
                    </w:rPr>
                  </w:pPr>
                </w:p>
              </w:tc>
              <w:tc>
                <w:tcPr>
                  <w:tcW w:w="753" w:type="dxa"/>
                </w:tcPr>
                <w:p w14:paraId="09DBBBF4">
                  <w:pPr>
                    <w:pStyle w:val="4"/>
                    <w:jc w:val="center"/>
                    <w:rPr>
                      <w:sz w:val="15"/>
                      <w:szCs w:val="15"/>
                    </w:rPr>
                  </w:pPr>
                </w:p>
              </w:tc>
              <w:tc>
                <w:tcPr>
                  <w:tcW w:w="640" w:type="dxa"/>
                </w:tcPr>
                <w:p w14:paraId="0448605D">
                  <w:pPr>
                    <w:pStyle w:val="4"/>
                    <w:jc w:val="center"/>
                    <w:rPr>
                      <w:sz w:val="15"/>
                      <w:szCs w:val="15"/>
                    </w:rPr>
                  </w:pPr>
                </w:p>
              </w:tc>
              <w:tc>
                <w:tcPr>
                  <w:tcW w:w="413" w:type="dxa"/>
                  <w:gridSpan w:val="2"/>
                  <w:shd w:val="clear" w:color="auto" w:fill="auto"/>
                  <w:vAlign w:val="center"/>
                </w:tcPr>
                <w:p w14:paraId="4FED1506">
                  <w:pPr>
                    <w:pStyle w:val="4"/>
                    <w:jc w:val="center"/>
                    <w:rPr>
                      <w:sz w:val="15"/>
                      <w:szCs w:val="15"/>
                    </w:rPr>
                  </w:pPr>
                </w:p>
              </w:tc>
              <w:tc>
                <w:tcPr>
                  <w:tcW w:w="410" w:type="dxa"/>
                  <w:shd w:val="clear" w:color="auto" w:fill="auto"/>
                  <w:vAlign w:val="center"/>
                </w:tcPr>
                <w:p w14:paraId="79AB0629">
                  <w:pPr>
                    <w:pStyle w:val="4"/>
                    <w:jc w:val="center"/>
                    <w:rPr>
                      <w:sz w:val="15"/>
                      <w:szCs w:val="15"/>
                    </w:rPr>
                  </w:pPr>
                </w:p>
              </w:tc>
              <w:tc>
                <w:tcPr>
                  <w:tcW w:w="575" w:type="dxa"/>
                  <w:gridSpan w:val="2"/>
                  <w:shd w:val="clear" w:color="auto" w:fill="auto"/>
                  <w:vAlign w:val="center"/>
                </w:tcPr>
                <w:p w14:paraId="2A018A3D">
                  <w:pPr>
                    <w:pStyle w:val="4"/>
                    <w:jc w:val="center"/>
                    <w:rPr>
                      <w:sz w:val="15"/>
                      <w:szCs w:val="15"/>
                    </w:rPr>
                  </w:pPr>
                </w:p>
              </w:tc>
              <w:tc>
                <w:tcPr>
                  <w:tcW w:w="1149" w:type="dxa"/>
                  <w:shd w:val="clear" w:color="auto" w:fill="auto"/>
                  <w:vAlign w:val="center"/>
                </w:tcPr>
                <w:p w14:paraId="69982EB8">
                  <w:pPr>
                    <w:pStyle w:val="4"/>
                    <w:jc w:val="center"/>
                    <w:rPr>
                      <w:sz w:val="15"/>
                      <w:szCs w:val="15"/>
                    </w:rPr>
                  </w:pPr>
                </w:p>
              </w:tc>
            </w:tr>
            <w:tr w14:paraId="2C57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371" w:type="dxa"/>
                  <w:shd w:val="clear" w:color="auto" w:fill="auto"/>
                  <w:vAlign w:val="center"/>
                </w:tcPr>
                <w:p w14:paraId="52E7B018">
                  <w:pPr>
                    <w:pStyle w:val="4"/>
                    <w:jc w:val="center"/>
                    <w:rPr>
                      <w:sz w:val="15"/>
                      <w:szCs w:val="15"/>
                    </w:rPr>
                  </w:pPr>
                  <w:r>
                    <w:rPr>
                      <w:sz w:val="15"/>
                      <w:szCs w:val="15"/>
                    </w:rPr>
                    <w:t>地方教育附加</w:t>
                  </w:r>
                </w:p>
              </w:tc>
              <w:tc>
                <w:tcPr>
                  <w:tcW w:w="249" w:type="dxa"/>
                  <w:shd w:val="clear" w:color="auto" w:fill="auto"/>
                  <w:vAlign w:val="center"/>
                </w:tcPr>
                <w:p w14:paraId="0A21FF2B">
                  <w:pPr>
                    <w:pStyle w:val="4"/>
                    <w:jc w:val="center"/>
                    <w:rPr>
                      <w:sz w:val="15"/>
                      <w:szCs w:val="15"/>
                    </w:rPr>
                  </w:pPr>
                  <w:r>
                    <w:rPr>
                      <w:rFonts w:hint="eastAsia"/>
                      <w:sz w:val="15"/>
                      <w:szCs w:val="15"/>
                    </w:rPr>
                    <w:t>3</w:t>
                  </w:r>
                </w:p>
              </w:tc>
              <w:tc>
                <w:tcPr>
                  <w:tcW w:w="428" w:type="dxa"/>
                  <w:shd w:val="clear" w:color="auto" w:fill="auto"/>
                  <w:vAlign w:val="center"/>
                </w:tcPr>
                <w:p w14:paraId="141BA512">
                  <w:pPr>
                    <w:pStyle w:val="4"/>
                    <w:jc w:val="center"/>
                    <w:rPr>
                      <w:sz w:val="15"/>
                      <w:szCs w:val="15"/>
                    </w:rPr>
                  </w:pPr>
                </w:p>
              </w:tc>
              <w:tc>
                <w:tcPr>
                  <w:tcW w:w="416" w:type="dxa"/>
                  <w:shd w:val="clear" w:color="auto" w:fill="auto"/>
                  <w:vAlign w:val="center"/>
                </w:tcPr>
                <w:p w14:paraId="6F927E03">
                  <w:pPr>
                    <w:pStyle w:val="4"/>
                    <w:jc w:val="center"/>
                    <w:rPr>
                      <w:sz w:val="15"/>
                      <w:szCs w:val="15"/>
                    </w:rPr>
                  </w:pPr>
                </w:p>
              </w:tc>
              <w:tc>
                <w:tcPr>
                  <w:tcW w:w="413" w:type="dxa"/>
                  <w:gridSpan w:val="2"/>
                  <w:shd w:val="clear" w:color="auto" w:fill="auto"/>
                  <w:vAlign w:val="center"/>
                </w:tcPr>
                <w:p w14:paraId="4ED0CD93">
                  <w:pPr>
                    <w:pStyle w:val="4"/>
                    <w:jc w:val="center"/>
                    <w:rPr>
                      <w:sz w:val="15"/>
                      <w:szCs w:val="15"/>
                    </w:rPr>
                  </w:pPr>
                </w:p>
              </w:tc>
              <w:tc>
                <w:tcPr>
                  <w:tcW w:w="575" w:type="dxa"/>
                  <w:shd w:val="clear" w:color="auto" w:fill="auto"/>
                  <w:vAlign w:val="center"/>
                </w:tcPr>
                <w:p w14:paraId="6A99D95E">
                  <w:pPr>
                    <w:pStyle w:val="4"/>
                    <w:jc w:val="center"/>
                    <w:rPr>
                      <w:sz w:val="15"/>
                      <w:szCs w:val="15"/>
                    </w:rPr>
                  </w:pPr>
                </w:p>
              </w:tc>
              <w:tc>
                <w:tcPr>
                  <w:tcW w:w="668" w:type="dxa"/>
                  <w:shd w:val="clear" w:color="auto" w:fill="auto"/>
                  <w:vAlign w:val="center"/>
                </w:tcPr>
                <w:p w14:paraId="169120FB">
                  <w:pPr>
                    <w:pStyle w:val="4"/>
                    <w:jc w:val="center"/>
                    <w:rPr>
                      <w:sz w:val="15"/>
                      <w:szCs w:val="15"/>
                    </w:rPr>
                  </w:pPr>
                </w:p>
              </w:tc>
              <w:tc>
                <w:tcPr>
                  <w:tcW w:w="445" w:type="dxa"/>
                  <w:shd w:val="clear" w:color="auto" w:fill="auto"/>
                  <w:vAlign w:val="center"/>
                </w:tcPr>
                <w:p w14:paraId="4A0C3C93">
                  <w:pPr>
                    <w:pStyle w:val="4"/>
                    <w:jc w:val="center"/>
                    <w:rPr>
                      <w:sz w:val="15"/>
                      <w:szCs w:val="15"/>
                    </w:rPr>
                  </w:pPr>
                </w:p>
              </w:tc>
              <w:tc>
                <w:tcPr>
                  <w:tcW w:w="575" w:type="dxa"/>
                  <w:gridSpan w:val="2"/>
                  <w:shd w:val="clear" w:color="auto" w:fill="auto"/>
                  <w:vAlign w:val="center"/>
                </w:tcPr>
                <w:p w14:paraId="376DA4AD">
                  <w:pPr>
                    <w:pStyle w:val="4"/>
                    <w:jc w:val="center"/>
                    <w:rPr>
                      <w:sz w:val="15"/>
                      <w:szCs w:val="15"/>
                    </w:rPr>
                  </w:pPr>
                </w:p>
              </w:tc>
              <w:tc>
                <w:tcPr>
                  <w:tcW w:w="753" w:type="dxa"/>
                </w:tcPr>
                <w:p w14:paraId="4119652C">
                  <w:pPr>
                    <w:pStyle w:val="4"/>
                    <w:jc w:val="center"/>
                    <w:rPr>
                      <w:sz w:val="15"/>
                      <w:szCs w:val="15"/>
                    </w:rPr>
                  </w:pPr>
                </w:p>
              </w:tc>
              <w:tc>
                <w:tcPr>
                  <w:tcW w:w="640" w:type="dxa"/>
                </w:tcPr>
                <w:p w14:paraId="038736DD">
                  <w:pPr>
                    <w:pStyle w:val="4"/>
                    <w:jc w:val="center"/>
                    <w:rPr>
                      <w:sz w:val="15"/>
                      <w:szCs w:val="15"/>
                    </w:rPr>
                  </w:pPr>
                </w:p>
              </w:tc>
              <w:tc>
                <w:tcPr>
                  <w:tcW w:w="413" w:type="dxa"/>
                  <w:gridSpan w:val="2"/>
                  <w:shd w:val="clear" w:color="auto" w:fill="auto"/>
                  <w:vAlign w:val="center"/>
                </w:tcPr>
                <w:p w14:paraId="527C0671">
                  <w:pPr>
                    <w:pStyle w:val="4"/>
                    <w:jc w:val="center"/>
                    <w:rPr>
                      <w:sz w:val="15"/>
                      <w:szCs w:val="15"/>
                    </w:rPr>
                  </w:pPr>
                </w:p>
              </w:tc>
              <w:tc>
                <w:tcPr>
                  <w:tcW w:w="410" w:type="dxa"/>
                  <w:shd w:val="clear" w:color="auto" w:fill="auto"/>
                  <w:vAlign w:val="center"/>
                </w:tcPr>
                <w:p w14:paraId="7112F376">
                  <w:pPr>
                    <w:pStyle w:val="4"/>
                    <w:jc w:val="center"/>
                    <w:rPr>
                      <w:sz w:val="15"/>
                      <w:szCs w:val="15"/>
                    </w:rPr>
                  </w:pPr>
                </w:p>
              </w:tc>
              <w:tc>
                <w:tcPr>
                  <w:tcW w:w="575" w:type="dxa"/>
                  <w:gridSpan w:val="2"/>
                  <w:shd w:val="clear" w:color="auto" w:fill="auto"/>
                  <w:vAlign w:val="center"/>
                </w:tcPr>
                <w:p w14:paraId="5E2C4F57">
                  <w:pPr>
                    <w:pStyle w:val="4"/>
                    <w:jc w:val="center"/>
                    <w:rPr>
                      <w:sz w:val="15"/>
                      <w:szCs w:val="15"/>
                    </w:rPr>
                  </w:pPr>
                </w:p>
              </w:tc>
              <w:tc>
                <w:tcPr>
                  <w:tcW w:w="1149" w:type="dxa"/>
                  <w:shd w:val="clear" w:color="auto" w:fill="auto"/>
                  <w:vAlign w:val="center"/>
                </w:tcPr>
                <w:p w14:paraId="779AC319">
                  <w:pPr>
                    <w:pStyle w:val="4"/>
                    <w:jc w:val="center"/>
                    <w:rPr>
                      <w:sz w:val="15"/>
                      <w:szCs w:val="15"/>
                    </w:rPr>
                  </w:pPr>
                </w:p>
              </w:tc>
            </w:tr>
            <w:tr w14:paraId="1DC4B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371" w:type="dxa"/>
                  <w:shd w:val="clear" w:color="auto" w:fill="auto"/>
                  <w:vAlign w:val="center"/>
                </w:tcPr>
                <w:p w14:paraId="3D0C2FCF">
                  <w:pPr>
                    <w:pStyle w:val="4"/>
                    <w:jc w:val="center"/>
                    <w:rPr>
                      <w:sz w:val="15"/>
                      <w:szCs w:val="15"/>
                    </w:rPr>
                  </w:pPr>
                  <w:r>
                    <w:rPr>
                      <w:sz w:val="15"/>
                      <w:szCs w:val="15"/>
                    </w:rPr>
                    <w:t>合计</w:t>
                  </w:r>
                </w:p>
              </w:tc>
              <w:tc>
                <w:tcPr>
                  <w:tcW w:w="249" w:type="dxa"/>
                  <w:shd w:val="clear" w:color="auto" w:fill="auto"/>
                  <w:vAlign w:val="center"/>
                </w:tcPr>
                <w:p w14:paraId="7EB31A24">
                  <w:pPr>
                    <w:pStyle w:val="4"/>
                    <w:jc w:val="center"/>
                    <w:rPr>
                      <w:sz w:val="15"/>
                      <w:szCs w:val="15"/>
                    </w:rPr>
                  </w:pPr>
                  <w:r>
                    <w:rPr>
                      <w:rFonts w:hint="eastAsia"/>
                      <w:sz w:val="15"/>
                      <w:szCs w:val="15"/>
                    </w:rPr>
                    <w:t>4</w:t>
                  </w:r>
                </w:p>
              </w:tc>
              <w:tc>
                <w:tcPr>
                  <w:tcW w:w="428" w:type="dxa"/>
                  <w:shd w:val="clear" w:color="auto" w:fill="auto"/>
                  <w:vAlign w:val="center"/>
                </w:tcPr>
                <w:p w14:paraId="3EAC5F54">
                  <w:pPr>
                    <w:pStyle w:val="4"/>
                    <w:jc w:val="center"/>
                    <w:rPr>
                      <w:sz w:val="15"/>
                      <w:szCs w:val="15"/>
                    </w:rPr>
                  </w:pPr>
                  <w:r>
                    <w:rPr>
                      <w:sz w:val="15"/>
                      <w:szCs w:val="15"/>
                    </w:rPr>
                    <w:t>—</w:t>
                  </w:r>
                </w:p>
              </w:tc>
              <w:tc>
                <w:tcPr>
                  <w:tcW w:w="416" w:type="dxa"/>
                  <w:shd w:val="clear" w:color="auto" w:fill="auto"/>
                  <w:vAlign w:val="center"/>
                </w:tcPr>
                <w:p w14:paraId="06FBFE51">
                  <w:pPr>
                    <w:pStyle w:val="4"/>
                    <w:jc w:val="center"/>
                    <w:rPr>
                      <w:sz w:val="15"/>
                      <w:szCs w:val="15"/>
                    </w:rPr>
                  </w:pPr>
                  <w:r>
                    <w:rPr>
                      <w:sz w:val="15"/>
                      <w:szCs w:val="15"/>
                    </w:rPr>
                    <w:t>—</w:t>
                  </w:r>
                </w:p>
              </w:tc>
              <w:tc>
                <w:tcPr>
                  <w:tcW w:w="413" w:type="dxa"/>
                  <w:gridSpan w:val="2"/>
                  <w:shd w:val="clear" w:color="auto" w:fill="auto"/>
                  <w:vAlign w:val="center"/>
                </w:tcPr>
                <w:p w14:paraId="153A5D4D">
                  <w:pPr>
                    <w:pStyle w:val="4"/>
                    <w:jc w:val="center"/>
                    <w:rPr>
                      <w:sz w:val="15"/>
                      <w:szCs w:val="15"/>
                    </w:rPr>
                  </w:pPr>
                  <w:r>
                    <w:rPr>
                      <w:sz w:val="15"/>
                      <w:szCs w:val="15"/>
                    </w:rPr>
                    <w:t>—</w:t>
                  </w:r>
                </w:p>
              </w:tc>
              <w:tc>
                <w:tcPr>
                  <w:tcW w:w="575" w:type="dxa"/>
                  <w:shd w:val="clear" w:color="auto" w:fill="auto"/>
                  <w:vAlign w:val="center"/>
                </w:tcPr>
                <w:p w14:paraId="3DA74E06">
                  <w:pPr>
                    <w:pStyle w:val="4"/>
                    <w:jc w:val="center"/>
                    <w:rPr>
                      <w:sz w:val="15"/>
                      <w:szCs w:val="15"/>
                    </w:rPr>
                  </w:pPr>
                  <w:r>
                    <w:rPr>
                      <w:sz w:val="15"/>
                      <w:szCs w:val="15"/>
                    </w:rPr>
                    <w:t>—</w:t>
                  </w:r>
                </w:p>
              </w:tc>
              <w:tc>
                <w:tcPr>
                  <w:tcW w:w="668" w:type="dxa"/>
                  <w:shd w:val="clear" w:color="auto" w:fill="auto"/>
                  <w:vAlign w:val="center"/>
                </w:tcPr>
                <w:p w14:paraId="76C65E25">
                  <w:pPr>
                    <w:pStyle w:val="4"/>
                    <w:jc w:val="center"/>
                    <w:rPr>
                      <w:sz w:val="15"/>
                      <w:szCs w:val="15"/>
                    </w:rPr>
                  </w:pPr>
                </w:p>
              </w:tc>
              <w:tc>
                <w:tcPr>
                  <w:tcW w:w="445" w:type="dxa"/>
                  <w:shd w:val="clear" w:color="auto" w:fill="auto"/>
                  <w:vAlign w:val="center"/>
                </w:tcPr>
                <w:p w14:paraId="1CEF5EE4">
                  <w:pPr>
                    <w:pStyle w:val="4"/>
                    <w:jc w:val="center"/>
                    <w:rPr>
                      <w:sz w:val="15"/>
                      <w:szCs w:val="15"/>
                    </w:rPr>
                  </w:pPr>
                </w:p>
              </w:tc>
              <w:tc>
                <w:tcPr>
                  <w:tcW w:w="575" w:type="dxa"/>
                  <w:gridSpan w:val="2"/>
                  <w:shd w:val="clear" w:color="auto" w:fill="auto"/>
                  <w:vAlign w:val="center"/>
                </w:tcPr>
                <w:p w14:paraId="59D9F406">
                  <w:pPr>
                    <w:pStyle w:val="4"/>
                    <w:jc w:val="center"/>
                    <w:rPr>
                      <w:sz w:val="15"/>
                      <w:szCs w:val="15"/>
                    </w:rPr>
                  </w:pPr>
                </w:p>
              </w:tc>
              <w:tc>
                <w:tcPr>
                  <w:tcW w:w="753" w:type="dxa"/>
                </w:tcPr>
                <w:p w14:paraId="1C563E7A">
                  <w:pPr>
                    <w:pStyle w:val="4"/>
                    <w:jc w:val="center"/>
                    <w:rPr>
                      <w:sz w:val="15"/>
                      <w:szCs w:val="15"/>
                    </w:rPr>
                  </w:pPr>
                  <w:r>
                    <w:rPr>
                      <w:sz w:val="15"/>
                      <w:szCs w:val="15"/>
                    </w:rPr>
                    <w:t>—</w:t>
                  </w:r>
                </w:p>
              </w:tc>
              <w:tc>
                <w:tcPr>
                  <w:tcW w:w="640" w:type="dxa"/>
                </w:tcPr>
                <w:p w14:paraId="02DF566A">
                  <w:pPr>
                    <w:pStyle w:val="4"/>
                    <w:jc w:val="center"/>
                    <w:rPr>
                      <w:sz w:val="15"/>
                      <w:szCs w:val="15"/>
                    </w:rPr>
                  </w:pPr>
                </w:p>
              </w:tc>
              <w:tc>
                <w:tcPr>
                  <w:tcW w:w="413" w:type="dxa"/>
                  <w:gridSpan w:val="2"/>
                  <w:shd w:val="clear" w:color="auto" w:fill="auto"/>
                  <w:vAlign w:val="center"/>
                </w:tcPr>
                <w:p w14:paraId="15D209E4">
                  <w:pPr>
                    <w:pStyle w:val="4"/>
                    <w:jc w:val="center"/>
                    <w:rPr>
                      <w:sz w:val="15"/>
                      <w:szCs w:val="15"/>
                    </w:rPr>
                  </w:pPr>
                  <w:r>
                    <w:rPr>
                      <w:sz w:val="15"/>
                      <w:szCs w:val="15"/>
                    </w:rPr>
                    <w:t>—</w:t>
                  </w:r>
                </w:p>
              </w:tc>
              <w:tc>
                <w:tcPr>
                  <w:tcW w:w="410" w:type="dxa"/>
                  <w:shd w:val="clear" w:color="auto" w:fill="auto"/>
                  <w:vAlign w:val="center"/>
                </w:tcPr>
                <w:p w14:paraId="3A4AF6D6">
                  <w:pPr>
                    <w:pStyle w:val="4"/>
                    <w:jc w:val="center"/>
                    <w:rPr>
                      <w:sz w:val="15"/>
                      <w:szCs w:val="15"/>
                    </w:rPr>
                  </w:pPr>
                </w:p>
              </w:tc>
              <w:tc>
                <w:tcPr>
                  <w:tcW w:w="575" w:type="dxa"/>
                  <w:gridSpan w:val="2"/>
                  <w:shd w:val="clear" w:color="auto" w:fill="auto"/>
                  <w:vAlign w:val="center"/>
                </w:tcPr>
                <w:p w14:paraId="3AC5D2A2">
                  <w:pPr>
                    <w:pStyle w:val="4"/>
                    <w:jc w:val="center"/>
                    <w:rPr>
                      <w:sz w:val="15"/>
                      <w:szCs w:val="15"/>
                    </w:rPr>
                  </w:pPr>
                </w:p>
              </w:tc>
              <w:tc>
                <w:tcPr>
                  <w:tcW w:w="1149" w:type="dxa"/>
                  <w:shd w:val="clear" w:color="auto" w:fill="auto"/>
                  <w:vAlign w:val="center"/>
                </w:tcPr>
                <w:p w14:paraId="5211E521">
                  <w:pPr>
                    <w:pStyle w:val="4"/>
                    <w:jc w:val="center"/>
                    <w:rPr>
                      <w:sz w:val="15"/>
                      <w:szCs w:val="15"/>
                    </w:rPr>
                  </w:pPr>
                </w:p>
              </w:tc>
            </w:tr>
            <w:tr w14:paraId="364D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1850" w:type="dxa"/>
                  <w:gridSpan w:val="5"/>
                  <w:vMerge w:val="restart"/>
                  <w:shd w:val="clear" w:color="auto" w:fill="auto"/>
                  <w:vAlign w:val="center"/>
                </w:tcPr>
                <w:p w14:paraId="084FE268">
                  <w:pPr>
                    <w:pStyle w:val="4"/>
                    <w:ind w:firstLine="150" w:firstLineChars="100"/>
                    <w:rPr>
                      <w:sz w:val="15"/>
                      <w:szCs w:val="15"/>
                    </w:rPr>
                  </w:pPr>
                  <w:r>
                    <w:rPr>
                      <w:sz w:val="15"/>
                      <w:szCs w:val="15"/>
                    </w:rPr>
                    <w:t>本期是否适用试点建设培育产教融合型企业抵免政策</w:t>
                  </w:r>
                </w:p>
              </w:tc>
              <w:tc>
                <w:tcPr>
                  <w:tcW w:w="2236" w:type="dxa"/>
                  <w:gridSpan w:val="5"/>
                  <w:vMerge w:val="restart"/>
                  <w:shd w:val="clear" w:color="auto" w:fill="auto"/>
                  <w:vAlign w:val="center"/>
                </w:tcPr>
                <w:p w14:paraId="7F3E209D">
                  <w:pPr>
                    <w:pStyle w:val="4"/>
                    <w:jc w:val="center"/>
                    <w:rPr>
                      <w:sz w:val="15"/>
                      <w:szCs w:val="15"/>
                    </w:rPr>
                  </w:pPr>
                  <w:r>
                    <w:rPr>
                      <w:rFonts w:hint="eastAsia" w:ascii="宋体" w:hAnsi="宋体"/>
                      <w:szCs w:val="18"/>
                    </w:rPr>
                    <w:t>□</w:t>
                  </w:r>
                  <w:r>
                    <w:rPr>
                      <w:sz w:val="15"/>
                      <w:szCs w:val="15"/>
                    </w:rPr>
                    <w:t>是</w:t>
                  </w:r>
                  <w:r>
                    <w:rPr>
                      <w:rFonts w:hint="eastAsia"/>
                      <w:sz w:val="15"/>
                      <w:szCs w:val="15"/>
                    </w:rPr>
                    <w:t xml:space="preserve"> </w:t>
                  </w:r>
                  <w:r>
                    <w:rPr>
                      <w:sz w:val="15"/>
                      <w:szCs w:val="15"/>
                    </w:rPr>
                    <w:t xml:space="preserve">   </w:t>
                  </w:r>
                  <w:r>
                    <w:rPr>
                      <w:rFonts w:hint="eastAsia" w:ascii="宋体" w:hAnsi="宋体"/>
                      <w:szCs w:val="18"/>
                    </w:rPr>
                    <w:t>□</w:t>
                  </w:r>
                  <w:r>
                    <w:rPr>
                      <w:sz w:val="15"/>
                      <w:szCs w:val="15"/>
                    </w:rPr>
                    <w:t>否</w:t>
                  </w:r>
                </w:p>
              </w:tc>
              <w:tc>
                <w:tcPr>
                  <w:tcW w:w="1836" w:type="dxa"/>
                  <w:gridSpan w:val="4"/>
                  <w:shd w:val="clear" w:color="auto" w:fill="auto"/>
                  <w:vAlign w:val="center"/>
                </w:tcPr>
                <w:p w14:paraId="268C5515">
                  <w:pPr>
                    <w:pStyle w:val="4"/>
                    <w:ind w:firstLine="150" w:firstLineChars="100"/>
                    <w:rPr>
                      <w:sz w:val="15"/>
                      <w:szCs w:val="15"/>
                    </w:rPr>
                  </w:pPr>
                  <w:r>
                    <w:rPr>
                      <w:sz w:val="15"/>
                      <w:szCs w:val="15"/>
                    </w:rPr>
                    <w:t>当期新增投资额</w:t>
                  </w:r>
                </w:p>
              </w:tc>
              <w:tc>
                <w:tcPr>
                  <w:tcW w:w="543" w:type="dxa"/>
                  <w:gridSpan w:val="3"/>
                  <w:shd w:val="clear" w:color="auto" w:fill="auto"/>
                  <w:vAlign w:val="center"/>
                </w:tcPr>
                <w:p w14:paraId="14A18C91">
                  <w:pPr>
                    <w:pStyle w:val="4"/>
                    <w:jc w:val="center"/>
                    <w:rPr>
                      <w:sz w:val="15"/>
                      <w:szCs w:val="15"/>
                    </w:rPr>
                  </w:pPr>
                  <w:r>
                    <w:rPr>
                      <w:rFonts w:hint="eastAsia"/>
                      <w:sz w:val="15"/>
                      <w:szCs w:val="15"/>
                    </w:rPr>
                    <w:t>5</w:t>
                  </w:r>
                </w:p>
              </w:tc>
              <w:tc>
                <w:tcPr>
                  <w:tcW w:w="1615" w:type="dxa"/>
                  <w:gridSpan w:val="2"/>
                  <w:shd w:val="clear" w:color="auto" w:fill="auto"/>
                  <w:vAlign w:val="center"/>
                </w:tcPr>
                <w:p w14:paraId="5BB6F7E1">
                  <w:pPr>
                    <w:pStyle w:val="4"/>
                    <w:jc w:val="center"/>
                    <w:rPr>
                      <w:sz w:val="15"/>
                      <w:szCs w:val="15"/>
                    </w:rPr>
                  </w:pPr>
                </w:p>
              </w:tc>
            </w:tr>
            <w:tr w14:paraId="2CC82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1850" w:type="dxa"/>
                  <w:gridSpan w:val="5"/>
                  <w:vMerge w:val="continue"/>
                  <w:shd w:val="clear" w:color="auto" w:fill="auto"/>
                  <w:vAlign w:val="center"/>
                </w:tcPr>
                <w:p w14:paraId="3A2721D3">
                  <w:pPr>
                    <w:pStyle w:val="4"/>
                    <w:jc w:val="center"/>
                    <w:rPr>
                      <w:sz w:val="15"/>
                      <w:szCs w:val="15"/>
                    </w:rPr>
                  </w:pPr>
                </w:p>
              </w:tc>
              <w:tc>
                <w:tcPr>
                  <w:tcW w:w="2236" w:type="dxa"/>
                  <w:gridSpan w:val="5"/>
                  <w:vMerge w:val="continue"/>
                  <w:shd w:val="clear" w:color="auto" w:fill="auto"/>
                  <w:vAlign w:val="center"/>
                </w:tcPr>
                <w:p w14:paraId="78E87E77">
                  <w:pPr>
                    <w:pStyle w:val="4"/>
                    <w:jc w:val="center"/>
                    <w:rPr>
                      <w:sz w:val="15"/>
                      <w:szCs w:val="15"/>
                    </w:rPr>
                  </w:pPr>
                </w:p>
              </w:tc>
              <w:tc>
                <w:tcPr>
                  <w:tcW w:w="1836" w:type="dxa"/>
                  <w:gridSpan w:val="4"/>
                  <w:shd w:val="clear" w:color="auto" w:fill="auto"/>
                  <w:vAlign w:val="center"/>
                </w:tcPr>
                <w:p w14:paraId="6210E95F">
                  <w:pPr>
                    <w:pStyle w:val="4"/>
                    <w:ind w:firstLine="150" w:firstLineChars="100"/>
                    <w:rPr>
                      <w:sz w:val="15"/>
                      <w:szCs w:val="15"/>
                    </w:rPr>
                  </w:pPr>
                  <w:r>
                    <w:rPr>
                      <w:sz w:val="15"/>
                      <w:szCs w:val="15"/>
                    </w:rPr>
                    <w:t>上期留抵可抵免金额</w:t>
                  </w:r>
                </w:p>
              </w:tc>
              <w:tc>
                <w:tcPr>
                  <w:tcW w:w="543" w:type="dxa"/>
                  <w:gridSpan w:val="3"/>
                  <w:shd w:val="clear" w:color="auto" w:fill="auto"/>
                  <w:vAlign w:val="center"/>
                </w:tcPr>
                <w:p w14:paraId="500FCB87">
                  <w:pPr>
                    <w:pStyle w:val="4"/>
                    <w:jc w:val="center"/>
                    <w:rPr>
                      <w:sz w:val="15"/>
                      <w:szCs w:val="15"/>
                    </w:rPr>
                  </w:pPr>
                  <w:r>
                    <w:rPr>
                      <w:rFonts w:hint="eastAsia"/>
                      <w:sz w:val="15"/>
                      <w:szCs w:val="15"/>
                    </w:rPr>
                    <w:t>6</w:t>
                  </w:r>
                </w:p>
              </w:tc>
              <w:tc>
                <w:tcPr>
                  <w:tcW w:w="1615" w:type="dxa"/>
                  <w:gridSpan w:val="2"/>
                  <w:shd w:val="clear" w:color="auto" w:fill="auto"/>
                  <w:vAlign w:val="center"/>
                </w:tcPr>
                <w:p w14:paraId="110AA230">
                  <w:pPr>
                    <w:pStyle w:val="4"/>
                    <w:jc w:val="center"/>
                    <w:rPr>
                      <w:sz w:val="15"/>
                      <w:szCs w:val="15"/>
                    </w:rPr>
                  </w:pPr>
                </w:p>
              </w:tc>
            </w:tr>
            <w:tr w14:paraId="2DC8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1850" w:type="dxa"/>
                  <w:gridSpan w:val="5"/>
                  <w:vMerge w:val="continue"/>
                  <w:shd w:val="clear" w:color="auto" w:fill="auto"/>
                  <w:vAlign w:val="center"/>
                </w:tcPr>
                <w:p w14:paraId="65717DD1">
                  <w:pPr>
                    <w:pStyle w:val="4"/>
                    <w:jc w:val="center"/>
                    <w:rPr>
                      <w:sz w:val="15"/>
                      <w:szCs w:val="15"/>
                    </w:rPr>
                  </w:pPr>
                </w:p>
              </w:tc>
              <w:tc>
                <w:tcPr>
                  <w:tcW w:w="2236" w:type="dxa"/>
                  <w:gridSpan w:val="5"/>
                  <w:vMerge w:val="continue"/>
                  <w:shd w:val="clear" w:color="auto" w:fill="auto"/>
                  <w:vAlign w:val="center"/>
                </w:tcPr>
                <w:p w14:paraId="7E0C6C94">
                  <w:pPr>
                    <w:pStyle w:val="4"/>
                    <w:jc w:val="center"/>
                    <w:rPr>
                      <w:sz w:val="15"/>
                      <w:szCs w:val="15"/>
                    </w:rPr>
                  </w:pPr>
                </w:p>
              </w:tc>
              <w:tc>
                <w:tcPr>
                  <w:tcW w:w="1836" w:type="dxa"/>
                  <w:gridSpan w:val="4"/>
                  <w:shd w:val="clear" w:color="auto" w:fill="auto"/>
                  <w:vAlign w:val="center"/>
                </w:tcPr>
                <w:p w14:paraId="5FA86857">
                  <w:pPr>
                    <w:pStyle w:val="4"/>
                    <w:ind w:firstLine="150" w:firstLineChars="100"/>
                    <w:rPr>
                      <w:sz w:val="15"/>
                      <w:szCs w:val="15"/>
                    </w:rPr>
                  </w:pPr>
                  <w:r>
                    <w:rPr>
                      <w:sz w:val="15"/>
                      <w:szCs w:val="15"/>
                    </w:rPr>
                    <w:t>结转下期可抵免金额</w:t>
                  </w:r>
                </w:p>
              </w:tc>
              <w:tc>
                <w:tcPr>
                  <w:tcW w:w="543" w:type="dxa"/>
                  <w:gridSpan w:val="3"/>
                  <w:shd w:val="clear" w:color="auto" w:fill="auto"/>
                  <w:vAlign w:val="center"/>
                </w:tcPr>
                <w:p w14:paraId="27DE7588">
                  <w:pPr>
                    <w:pStyle w:val="4"/>
                    <w:jc w:val="center"/>
                    <w:rPr>
                      <w:sz w:val="15"/>
                      <w:szCs w:val="15"/>
                    </w:rPr>
                  </w:pPr>
                  <w:r>
                    <w:rPr>
                      <w:rFonts w:hint="eastAsia"/>
                      <w:sz w:val="15"/>
                      <w:szCs w:val="15"/>
                    </w:rPr>
                    <w:t>7</w:t>
                  </w:r>
                </w:p>
              </w:tc>
              <w:tc>
                <w:tcPr>
                  <w:tcW w:w="1615" w:type="dxa"/>
                  <w:gridSpan w:val="2"/>
                  <w:shd w:val="clear" w:color="auto" w:fill="auto"/>
                  <w:vAlign w:val="center"/>
                </w:tcPr>
                <w:p w14:paraId="1FFB3522">
                  <w:pPr>
                    <w:pStyle w:val="4"/>
                    <w:jc w:val="center"/>
                    <w:rPr>
                      <w:sz w:val="15"/>
                      <w:szCs w:val="15"/>
                    </w:rPr>
                  </w:pPr>
                </w:p>
              </w:tc>
            </w:tr>
            <w:tr w14:paraId="2F81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4086" w:type="dxa"/>
                  <w:gridSpan w:val="10"/>
                  <w:vMerge w:val="restart"/>
                  <w:shd w:val="clear" w:color="auto" w:fill="auto"/>
                  <w:vAlign w:val="center"/>
                </w:tcPr>
                <w:p w14:paraId="15149685">
                  <w:pPr>
                    <w:pStyle w:val="4"/>
                    <w:ind w:firstLine="150" w:firstLineChars="100"/>
                    <w:rPr>
                      <w:sz w:val="15"/>
                      <w:szCs w:val="15"/>
                    </w:rPr>
                  </w:pPr>
                  <w:r>
                    <w:rPr>
                      <w:sz w:val="15"/>
                      <w:szCs w:val="15"/>
                    </w:rPr>
                    <w:t>可用于扣除的增值税留抵退税额使用情况</w:t>
                  </w:r>
                </w:p>
              </w:tc>
              <w:tc>
                <w:tcPr>
                  <w:tcW w:w="1836" w:type="dxa"/>
                  <w:gridSpan w:val="4"/>
                  <w:shd w:val="clear" w:color="auto" w:fill="auto"/>
                  <w:vAlign w:val="center"/>
                </w:tcPr>
                <w:p w14:paraId="464D5ED7">
                  <w:pPr>
                    <w:pStyle w:val="4"/>
                    <w:ind w:firstLine="150" w:firstLineChars="100"/>
                    <w:rPr>
                      <w:sz w:val="15"/>
                      <w:szCs w:val="15"/>
                    </w:rPr>
                  </w:pPr>
                  <w:r>
                    <w:rPr>
                      <w:sz w:val="15"/>
                      <w:szCs w:val="15"/>
                    </w:rPr>
                    <w:t>当期新增可用于扣除的留抵退税额</w:t>
                  </w:r>
                </w:p>
              </w:tc>
              <w:tc>
                <w:tcPr>
                  <w:tcW w:w="543" w:type="dxa"/>
                  <w:gridSpan w:val="3"/>
                  <w:shd w:val="clear" w:color="auto" w:fill="auto"/>
                  <w:vAlign w:val="center"/>
                </w:tcPr>
                <w:p w14:paraId="27E7189B">
                  <w:pPr>
                    <w:pStyle w:val="4"/>
                    <w:jc w:val="center"/>
                    <w:rPr>
                      <w:sz w:val="15"/>
                      <w:szCs w:val="15"/>
                    </w:rPr>
                  </w:pPr>
                  <w:r>
                    <w:rPr>
                      <w:rFonts w:hint="eastAsia"/>
                      <w:sz w:val="15"/>
                      <w:szCs w:val="15"/>
                    </w:rPr>
                    <w:t>8</w:t>
                  </w:r>
                </w:p>
              </w:tc>
              <w:tc>
                <w:tcPr>
                  <w:tcW w:w="1615" w:type="dxa"/>
                  <w:gridSpan w:val="2"/>
                  <w:shd w:val="clear" w:color="auto" w:fill="auto"/>
                  <w:vAlign w:val="center"/>
                </w:tcPr>
                <w:p w14:paraId="16C51BAB">
                  <w:pPr>
                    <w:pStyle w:val="4"/>
                    <w:jc w:val="center"/>
                    <w:rPr>
                      <w:sz w:val="15"/>
                      <w:szCs w:val="15"/>
                    </w:rPr>
                  </w:pPr>
                </w:p>
              </w:tc>
            </w:tr>
            <w:tr w14:paraId="4F42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4086" w:type="dxa"/>
                  <w:gridSpan w:val="10"/>
                  <w:vMerge w:val="continue"/>
                  <w:shd w:val="clear" w:color="auto" w:fill="auto"/>
                  <w:vAlign w:val="center"/>
                </w:tcPr>
                <w:p w14:paraId="3A42DC75">
                  <w:pPr>
                    <w:pStyle w:val="4"/>
                    <w:jc w:val="center"/>
                    <w:rPr>
                      <w:sz w:val="15"/>
                      <w:szCs w:val="15"/>
                    </w:rPr>
                  </w:pPr>
                </w:p>
              </w:tc>
              <w:tc>
                <w:tcPr>
                  <w:tcW w:w="1836" w:type="dxa"/>
                  <w:gridSpan w:val="4"/>
                  <w:shd w:val="clear" w:color="auto" w:fill="auto"/>
                  <w:vAlign w:val="center"/>
                </w:tcPr>
                <w:p w14:paraId="575CD3B0">
                  <w:pPr>
                    <w:pStyle w:val="4"/>
                    <w:ind w:firstLine="150" w:firstLineChars="100"/>
                    <w:rPr>
                      <w:sz w:val="15"/>
                      <w:szCs w:val="15"/>
                    </w:rPr>
                  </w:pPr>
                  <w:r>
                    <w:rPr>
                      <w:sz w:val="15"/>
                      <w:szCs w:val="15"/>
                    </w:rPr>
                    <w:t>上期结存可用于扣除的留抵退税额</w:t>
                  </w:r>
                </w:p>
              </w:tc>
              <w:tc>
                <w:tcPr>
                  <w:tcW w:w="543" w:type="dxa"/>
                  <w:gridSpan w:val="3"/>
                  <w:shd w:val="clear" w:color="auto" w:fill="auto"/>
                  <w:vAlign w:val="center"/>
                </w:tcPr>
                <w:p w14:paraId="754EF1AD">
                  <w:pPr>
                    <w:pStyle w:val="4"/>
                    <w:jc w:val="center"/>
                    <w:rPr>
                      <w:sz w:val="15"/>
                      <w:szCs w:val="15"/>
                    </w:rPr>
                  </w:pPr>
                  <w:r>
                    <w:rPr>
                      <w:rFonts w:hint="eastAsia"/>
                      <w:sz w:val="15"/>
                      <w:szCs w:val="15"/>
                    </w:rPr>
                    <w:t>9</w:t>
                  </w:r>
                </w:p>
              </w:tc>
              <w:tc>
                <w:tcPr>
                  <w:tcW w:w="1615" w:type="dxa"/>
                  <w:gridSpan w:val="2"/>
                  <w:shd w:val="clear" w:color="auto" w:fill="auto"/>
                  <w:vAlign w:val="center"/>
                </w:tcPr>
                <w:p w14:paraId="75C1C892">
                  <w:pPr>
                    <w:pStyle w:val="4"/>
                    <w:jc w:val="center"/>
                    <w:rPr>
                      <w:sz w:val="15"/>
                      <w:szCs w:val="15"/>
                    </w:rPr>
                  </w:pPr>
                </w:p>
              </w:tc>
            </w:tr>
            <w:tr w14:paraId="44357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4086" w:type="dxa"/>
                  <w:gridSpan w:val="10"/>
                  <w:vMerge w:val="continue"/>
                  <w:shd w:val="clear" w:color="auto" w:fill="auto"/>
                  <w:vAlign w:val="center"/>
                </w:tcPr>
                <w:p w14:paraId="1124D959">
                  <w:pPr>
                    <w:pStyle w:val="4"/>
                    <w:jc w:val="center"/>
                    <w:rPr>
                      <w:sz w:val="15"/>
                      <w:szCs w:val="15"/>
                    </w:rPr>
                  </w:pPr>
                </w:p>
              </w:tc>
              <w:tc>
                <w:tcPr>
                  <w:tcW w:w="1836" w:type="dxa"/>
                  <w:gridSpan w:val="4"/>
                  <w:shd w:val="clear" w:color="auto" w:fill="auto"/>
                  <w:vAlign w:val="center"/>
                </w:tcPr>
                <w:p w14:paraId="2A8D9418">
                  <w:pPr>
                    <w:pStyle w:val="4"/>
                    <w:ind w:firstLine="150" w:firstLineChars="100"/>
                    <w:rPr>
                      <w:sz w:val="15"/>
                      <w:szCs w:val="15"/>
                    </w:rPr>
                  </w:pPr>
                  <w:r>
                    <w:rPr>
                      <w:sz w:val="15"/>
                      <w:szCs w:val="15"/>
                    </w:rPr>
                    <w:t>结转下期可用于扣除的留抵退税额</w:t>
                  </w:r>
                </w:p>
              </w:tc>
              <w:tc>
                <w:tcPr>
                  <w:tcW w:w="543" w:type="dxa"/>
                  <w:gridSpan w:val="3"/>
                  <w:shd w:val="clear" w:color="auto" w:fill="auto"/>
                  <w:vAlign w:val="center"/>
                </w:tcPr>
                <w:p w14:paraId="6A4FA908">
                  <w:pPr>
                    <w:pStyle w:val="4"/>
                    <w:jc w:val="center"/>
                    <w:rPr>
                      <w:sz w:val="15"/>
                      <w:szCs w:val="15"/>
                    </w:rPr>
                  </w:pPr>
                  <w:r>
                    <w:rPr>
                      <w:rFonts w:hint="eastAsia"/>
                      <w:sz w:val="15"/>
                      <w:szCs w:val="15"/>
                    </w:rPr>
                    <w:t>1</w:t>
                  </w:r>
                  <w:r>
                    <w:rPr>
                      <w:sz w:val="15"/>
                      <w:szCs w:val="15"/>
                    </w:rPr>
                    <w:t>0</w:t>
                  </w:r>
                </w:p>
              </w:tc>
              <w:tc>
                <w:tcPr>
                  <w:tcW w:w="1615" w:type="dxa"/>
                  <w:gridSpan w:val="2"/>
                  <w:shd w:val="clear" w:color="auto" w:fill="auto"/>
                  <w:vAlign w:val="center"/>
                </w:tcPr>
                <w:p w14:paraId="35DA71C4">
                  <w:pPr>
                    <w:pStyle w:val="4"/>
                    <w:jc w:val="center"/>
                    <w:rPr>
                      <w:sz w:val="15"/>
                      <w:szCs w:val="15"/>
                    </w:rPr>
                  </w:pPr>
                </w:p>
              </w:tc>
            </w:tr>
          </w:tbl>
          <w:p w14:paraId="45BEDE84">
            <w:pPr>
              <w:pStyle w:val="4"/>
              <w:ind w:firstLine="360" w:firstLineChars="200"/>
              <w:jc w:val="left"/>
              <w:rPr>
                <w:lang w:bidi="ar"/>
              </w:rPr>
            </w:pPr>
            <w:r>
              <w:rPr>
                <w:rFonts w:hint="eastAsia"/>
                <w:lang w:bidi="ar"/>
              </w:rPr>
              <w:t>注：根据《关于进一步实施小微企业“六税两费”减免政策的公告》（财政部 税务总局公告2022年第10号）的规定，本表的适用期限为2022年1月1日至2024年12月31日。</w:t>
            </w:r>
          </w:p>
          <w:p w14:paraId="0192969F">
            <w:pPr>
              <w:pStyle w:val="4"/>
              <w:ind w:firstLine="360" w:firstLineChars="200"/>
              <w:jc w:val="center"/>
              <w:rPr>
                <w:lang w:bidi="ar"/>
              </w:rPr>
            </w:pPr>
            <w:r>
              <w:rPr>
                <w:rFonts w:hint="eastAsia"/>
                <w:lang w:bidi="ar"/>
              </w:rPr>
              <w:t>表5-2  消费税附加税费计算表</w:t>
            </w:r>
          </w:p>
          <w:p w14:paraId="35ACAAE9">
            <w:pPr>
              <w:pStyle w:val="4"/>
              <w:ind w:firstLine="360" w:firstLineChars="200"/>
              <w:jc w:val="right"/>
              <w:rPr>
                <w:lang w:bidi="ar"/>
              </w:rPr>
            </w:pPr>
            <w:r>
              <w:rPr>
                <w:rFonts w:hint="eastAsia"/>
                <w:lang w:bidi="ar"/>
              </w:rPr>
              <w:t>金额单位：元（列至角分）</w:t>
            </w:r>
          </w:p>
          <w:tbl>
            <w:tblPr>
              <w:tblStyle w:val="2"/>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69"/>
              <w:gridCol w:w="840"/>
              <w:gridCol w:w="678"/>
              <w:gridCol w:w="900"/>
              <w:gridCol w:w="702"/>
              <w:gridCol w:w="766"/>
              <w:gridCol w:w="920"/>
              <w:gridCol w:w="879"/>
              <w:gridCol w:w="761"/>
              <w:gridCol w:w="828"/>
            </w:tblGrid>
            <w:tr w14:paraId="66278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 w:hRule="atLeast"/>
                <w:jc w:val="center"/>
              </w:trPr>
              <w:tc>
                <w:tcPr>
                  <w:tcW w:w="2187" w:type="dxa"/>
                  <w:gridSpan w:val="3"/>
                  <w:vMerge w:val="restart"/>
                  <w:shd w:val="clear" w:color="auto" w:fill="auto"/>
                  <w:vAlign w:val="center"/>
                </w:tcPr>
                <w:p w14:paraId="05F7C1A8">
                  <w:pPr>
                    <w:pStyle w:val="4"/>
                    <w:jc w:val="center"/>
                    <w:rPr>
                      <w:sz w:val="15"/>
                      <w:szCs w:val="15"/>
                    </w:rPr>
                  </w:pPr>
                  <w:r>
                    <w:rPr>
                      <w:rFonts w:hint="eastAsia"/>
                      <w:sz w:val="15"/>
                      <w:szCs w:val="15"/>
                    </w:rPr>
                    <w:t>本期是否适用小微企业“六税两费”减免政策</w:t>
                  </w:r>
                </w:p>
              </w:tc>
              <w:tc>
                <w:tcPr>
                  <w:tcW w:w="900" w:type="dxa"/>
                  <w:vMerge w:val="restart"/>
                  <w:shd w:val="clear" w:color="auto" w:fill="auto"/>
                  <w:vAlign w:val="center"/>
                </w:tcPr>
                <w:p w14:paraId="10951FC6">
                  <w:pPr>
                    <w:pStyle w:val="4"/>
                    <w:jc w:val="center"/>
                    <w:rPr>
                      <w:sz w:val="15"/>
                      <w:szCs w:val="15"/>
                    </w:rPr>
                  </w:pPr>
                  <w:r>
                    <w:rPr>
                      <w:rFonts w:hint="eastAsia" w:ascii="宋体" w:hAnsi="宋体"/>
                      <w:szCs w:val="18"/>
                    </w:rPr>
                    <w:t>□</w:t>
                  </w:r>
                  <w:r>
                    <w:rPr>
                      <w:rFonts w:hint="eastAsia" w:ascii="宋体" w:hAnsi="宋体"/>
                      <w:sz w:val="15"/>
                      <w:szCs w:val="15"/>
                    </w:rPr>
                    <w:t xml:space="preserve">是 </w:t>
                  </w:r>
                  <w:r>
                    <w:rPr>
                      <w:rFonts w:ascii="宋体" w:hAnsi="宋体"/>
                      <w:sz w:val="15"/>
                      <w:szCs w:val="15"/>
                    </w:rPr>
                    <w:t xml:space="preserve"> </w:t>
                  </w:r>
                  <w:r>
                    <w:rPr>
                      <w:rFonts w:hint="eastAsia" w:ascii="宋体" w:hAnsi="宋体"/>
                      <w:szCs w:val="18"/>
                    </w:rPr>
                    <w:t>□</w:t>
                  </w:r>
                  <w:r>
                    <w:rPr>
                      <w:rFonts w:hint="eastAsia" w:ascii="宋体" w:hAnsi="宋体"/>
                      <w:sz w:val="15"/>
                      <w:szCs w:val="15"/>
                    </w:rPr>
                    <w:t>否</w:t>
                  </w:r>
                </w:p>
              </w:tc>
              <w:tc>
                <w:tcPr>
                  <w:tcW w:w="1468" w:type="dxa"/>
                  <w:gridSpan w:val="2"/>
                  <w:vMerge w:val="restart"/>
                  <w:shd w:val="clear" w:color="auto" w:fill="auto"/>
                  <w:vAlign w:val="center"/>
                </w:tcPr>
                <w:p w14:paraId="356FD808">
                  <w:pPr>
                    <w:pStyle w:val="4"/>
                    <w:jc w:val="center"/>
                    <w:rPr>
                      <w:sz w:val="15"/>
                      <w:szCs w:val="15"/>
                    </w:rPr>
                  </w:pPr>
                  <w:r>
                    <w:rPr>
                      <w:rFonts w:hint="eastAsia"/>
                      <w:sz w:val="15"/>
                      <w:szCs w:val="15"/>
                    </w:rPr>
                    <w:t>减免政策适用主体</w:t>
                  </w:r>
                </w:p>
              </w:tc>
              <w:tc>
                <w:tcPr>
                  <w:tcW w:w="3388" w:type="dxa"/>
                  <w:gridSpan w:val="4"/>
                  <w:shd w:val="clear" w:color="auto" w:fill="auto"/>
                  <w:vAlign w:val="center"/>
                </w:tcPr>
                <w:p w14:paraId="598E693F">
                  <w:pPr>
                    <w:pStyle w:val="4"/>
                    <w:jc w:val="center"/>
                    <w:rPr>
                      <w:sz w:val="15"/>
                      <w:szCs w:val="15"/>
                    </w:rPr>
                  </w:pPr>
                  <w:r>
                    <w:rPr>
                      <w:rFonts w:hint="eastAsia"/>
                      <w:sz w:val="15"/>
                      <w:szCs w:val="15"/>
                    </w:rPr>
                    <w:t>增值税小规模纳税人：</w:t>
                  </w:r>
                  <w:r>
                    <w:rPr>
                      <w:rFonts w:hint="eastAsia" w:ascii="宋体" w:hAnsi="宋体"/>
                      <w:szCs w:val="18"/>
                    </w:rPr>
                    <w:t>□</w:t>
                  </w:r>
                  <w:r>
                    <w:rPr>
                      <w:rFonts w:hint="eastAsia"/>
                      <w:sz w:val="15"/>
                      <w:szCs w:val="15"/>
                    </w:rPr>
                    <w:t xml:space="preserve">是 </w:t>
                  </w:r>
                  <w:r>
                    <w:rPr>
                      <w:sz w:val="15"/>
                      <w:szCs w:val="15"/>
                    </w:rPr>
                    <w:t xml:space="preserve"> </w:t>
                  </w:r>
                  <w:r>
                    <w:rPr>
                      <w:rFonts w:hint="eastAsia" w:ascii="宋体" w:hAnsi="宋体"/>
                      <w:szCs w:val="18"/>
                    </w:rPr>
                    <w:t>□</w:t>
                  </w:r>
                  <w:r>
                    <w:rPr>
                      <w:rFonts w:hint="eastAsia" w:ascii="宋体" w:hAnsi="宋体"/>
                      <w:sz w:val="15"/>
                      <w:szCs w:val="15"/>
                    </w:rPr>
                    <w:t>否</w:t>
                  </w:r>
                </w:p>
              </w:tc>
            </w:tr>
            <w:tr w14:paraId="3233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 w:hRule="atLeast"/>
                <w:jc w:val="center"/>
              </w:trPr>
              <w:tc>
                <w:tcPr>
                  <w:tcW w:w="2187" w:type="dxa"/>
                  <w:gridSpan w:val="3"/>
                  <w:vMerge w:val="continue"/>
                  <w:shd w:val="clear" w:color="auto" w:fill="auto"/>
                  <w:vAlign w:val="center"/>
                </w:tcPr>
                <w:p w14:paraId="1343FE0F">
                  <w:pPr>
                    <w:pStyle w:val="4"/>
                    <w:jc w:val="center"/>
                    <w:rPr>
                      <w:sz w:val="15"/>
                      <w:szCs w:val="15"/>
                    </w:rPr>
                  </w:pPr>
                </w:p>
              </w:tc>
              <w:tc>
                <w:tcPr>
                  <w:tcW w:w="900" w:type="dxa"/>
                  <w:vMerge w:val="continue"/>
                  <w:shd w:val="clear" w:color="auto" w:fill="auto"/>
                  <w:vAlign w:val="center"/>
                </w:tcPr>
                <w:p w14:paraId="51BC241A">
                  <w:pPr>
                    <w:pStyle w:val="4"/>
                    <w:jc w:val="center"/>
                    <w:rPr>
                      <w:sz w:val="15"/>
                      <w:szCs w:val="15"/>
                    </w:rPr>
                  </w:pPr>
                </w:p>
              </w:tc>
              <w:tc>
                <w:tcPr>
                  <w:tcW w:w="1468" w:type="dxa"/>
                  <w:gridSpan w:val="2"/>
                  <w:vMerge w:val="continue"/>
                  <w:shd w:val="clear" w:color="auto" w:fill="auto"/>
                  <w:vAlign w:val="center"/>
                </w:tcPr>
                <w:p w14:paraId="23C9F0AD">
                  <w:pPr>
                    <w:pStyle w:val="4"/>
                    <w:jc w:val="center"/>
                    <w:rPr>
                      <w:sz w:val="15"/>
                      <w:szCs w:val="15"/>
                    </w:rPr>
                  </w:pPr>
                </w:p>
              </w:tc>
              <w:tc>
                <w:tcPr>
                  <w:tcW w:w="3388" w:type="dxa"/>
                  <w:gridSpan w:val="4"/>
                  <w:shd w:val="clear" w:color="auto" w:fill="auto"/>
                  <w:vAlign w:val="center"/>
                </w:tcPr>
                <w:p w14:paraId="2DF26393">
                  <w:pPr>
                    <w:pStyle w:val="4"/>
                    <w:jc w:val="center"/>
                    <w:rPr>
                      <w:sz w:val="15"/>
                      <w:szCs w:val="15"/>
                    </w:rPr>
                  </w:pPr>
                  <w:r>
                    <w:rPr>
                      <w:rFonts w:hint="eastAsia"/>
                      <w:sz w:val="15"/>
                      <w:szCs w:val="15"/>
                    </w:rPr>
                    <w:t>增值税一般纳税人：</w:t>
                  </w:r>
                  <w:r>
                    <w:rPr>
                      <w:rFonts w:hint="eastAsia" w:ascii="宋体" w:hAnsi="宋体"/>
                      <w:szCs w:val="18"/>
                    </w:rPr>
                    <w:t>□</w:t>
                  </w:r>
                  <w:r>
                    <w:rPr>
                      <w:rFonts w:hint="eastAsia" w:ascii="宋体" w:hAnsi="宋体"/>
                      <w:sz w:val="15"/>
                      <w:szCs w:val="15"/>
                    </w:rPr>
                    <w:t xml:space="preserve">个体工商户 </w:t>
                  </w:r>
                  <w:r>
                    <w:rPr>
                      <w:rFonts w:ascii="宋体" w:hAnsi="宋体"/>
                      <w:sz w:val="15"/>
                      <w:szCs w:val="15"/>
                    </w:rPr>
                    <w:t xml:space="preserve"> </w:t>
                  </w:r>
                  <w:r>
                    <w:rPr>
                      <w:rFonts w:hint="eastAsia" w:ascii="宋体" w:hAnsi="宋体"/>
                      <w:szCs w:val="18"/>
                    </w:rPr>
                    <w:t>□</w:t>
                  </w:r>
                  <w:r>
                    <w:rPr>
                      <w:rFonts w:hint="eastAsia" w:ascii="宋体" w:hAnsi="宋体"/>
                      <w:sz w:val="15"/>
                      <w:szCs w:val="15"/>
                    </w:rPr>
                    <w:t>小型微利企业</w:t>
                  </w:r>
                </w:p>
              </w:tc>
            </w:tr>
            <w:tr w14:paraId="53B18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 w:hRule="atLeast"/>
                <w:jc w:val="center"/>
              </w:trPr>
              <w:tc>
                <w:tcPr>
                  <w:tcW w:w="2187" w:type="dxa"/>
                  <w:gridSpan w:val="3"/>
                  <w:vMerge w:val="continue"/>
                  <w:shd w:val="clear" w:color="auto" w:fill="auto"/>
                  <w:vAlign w:val="center"/>
                </w:tcPr>
                <w:p w14:paraId="1154BF7D">
                  <w:pPr>
                    <w:pStyle w:val="4"/>
                    <w:jc w:val="center"/>
                    <w:rPr>
                      <w:sz w:val="15"/>
                      <w:szCs w:val="15"/>
                    </w:rPr>
                  </w:pPr>
                </w:p>
              </w:tc>
              <w:tc>
                <w:tcPr>
                  <w:tcW w:w="900" w:type="dxa"/>
                  <w:vMerge w:val="continue"/>
                  <w:shd w:val="clear" w:color="auto" w:fill="auto"/>
                  <w:vAlign w:val="center"/>
                </w:tcPr>
                <w:p w14:paraId="2C0CAE3E">
                  <w:pPr>
                    <w:pStyle w:val="4"/>
                    <w:jc w:val="center"/>
                    <w:rPr>
                      <w:sz w:val="15"/>
                      <w:szCs w:val="15"/>
                    </w:rPr>
                  </w:pPr>
                </w:p>
              </w:tc>
              <w:tc>
                <w:tcPr>
                  <w:tcW w:w="1468" w:type="dxa"/>
                  <w:gridSpan w:val="2"/>
                  <w:shd w:val="clear" w:color="auto" w:fill="auto"/>
                  <w:vAlign w:val="center"/>
                </w:tcPr>
                <w:p w14:paraId="3FF76566">
                  <w:pPr>
                    <w:pStyle w:val="4"/>
                    <w:jc w:val="center"/>
                    <w:rPr>
                      <w:sz w:val="15"/>
                      <w:szCs w:val="15"/>
                    </w:rPr>
                  </w:pPr>
                  <w:r>
                    <w:rPr>
                      <w:rFonts w:hint="eastAsia"/>
                      <w:sz w:val="15"/>
                      <w:szCs w:val="15"/>
                    </w:rPr>
                    <w:t>适用减免政策</w:t>
                  </w:r>
                  <w:r>
                    <w:rPr>
                      <w:sz w:val="15"/>
                      <w:szCs w:val="15"/>
                    </w:rPr>
                    <w:br w:type="textWrapping"/>
                  </w:r>
                  <w:r>
                    <w:rPr>
                      <w:rFonts w:hint="eastAsia"/>
                      <w:sz w:val="15"/>
                      <w:szCs w:val="15"/>
                    </w:rPr>
                    <w:t>起止时间</w:t>
                  </w:r>
                </w:p>
              </w:tc>
              <w:tc>
                <w:tcPr>
                  <w:tcW w:w="3388" w:type="dxa"/>
                  <w:gridSpan w:val="4"/>
                  <w:shd w:val="clear" w:color="auto" w:fill="auto"/>
                  <w:vAlign w:val="center"/>
                </w:tcPr>
                <w:p w14:paraId="268D6BFB">
                  <w:pPr>
                    <w:pStyle w:val="4"/>
                    <w:jc w:val="center"/>
                    <w:rPr>
                      <w:sz w:val="15"/>
                      <w:szCs w:val="15"/>
                    </w:rPr>
                  </w:pPr>
                  <w:r>
                    <w:rPr>
                      <w:sz w:val="15"/>
                      <w:szCs w:val="15"/>
                    </w:rPr>
                    <w:t xml:space="preserve">    </w:t>
                  </w:r>
                  <w:r>
                    <w:rPr>
                      <w:rFonts w:hint="eastAsia"/>
                      <w:sz w:val="15"/>
                      <w:szCs w:val="15"/>
                    </w:rPr>
                    <w:t xml:space="preserve">年 </w:t>
                  </w:r>
                  <w:r>
                    <w:rPr>
                      <w:sz w:val="15"/>
                      <w:szCs w:val="15"/>
                    </w:rPr>
                    <w:t xml:space="preserve">  </w:t>
                  </w:r>
                  <w:r>
                    <w:rPr>
                      <w:rFonts w:hint="eastAsia"/>
                      <w:sz w:val="15"/>
                      <w:szCs w:val="15"/>
                    </w:rPr>
                    <w:t xml:space="preserve">月至 </w:t>
                  </w:r>
                  <w:r>
                    <w:rPr>
                      <w:sz w:val="15"/>
                      <w:szCs w:val="15"/>
                    </w:rPr>
                    <w:t xml:space="preserve">    </w:t>
                  </w:r>
                  <w:r>
                    <w:rPr>
                      <w:rFonts w:hint="eastAsia"/>
                      <w:sz w:val="15"/>
                      <w:szCs w:val="15"/>
                    </w:rPr>
                    <w:t xml:space="preserve">年 </w:t>
                  </w:r>
                  <w:r>
                    <w:rPr>
                      <w:sz w:val="15"/>
                      <w:szCs w:val="15"/>
                    </w:rPr>
                    <w:t xml:space="preserve">  </w:t>
                  </w:r>
                  <w:r>
                    <w:rPr>
                      <w:rFonts w:hint="eastAsia"/>
                      <w:sz w:val="15"/>
                      <w:szCs w:val="15"/>
                    </w:rPr>
                    <w:t>月</w:t>
                  </w:r>
                </w:p>
              </w:tc>
            </w:tr>
            <w:tr w14:paraId="7A98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 w:hRule="atLeast"/>
                <w:jc w:val="center"/>
              </w:trPr>
              <w:tc>
                <w:tcPr>
                  <w:tcW w:w="669" w:type="dxa"/>
                  <w:vMerge w:val="restart"/>
                  <w:shd w:val="clear" w:color="auto" w:fill="auto"/>
                  <w:vAlign w:val="center"/>
                </w:tcPr>
                <w:p w14:paraId="45F3968A">
                  <w:pPr>
                    <w:pStyle w:val="4"/>
                    <w:jc w:val="center"/>
                    <w:rPr>
                      <w:sz w:val="15"/>
                      <w:szCs w:val="15"/>
                    </w:rPr>
                  </w:pPr>
                  <w:r>
                    <w:rPr>
                      <w:sz w:val="15"/>
                      <w:szCs w:val="15"/>
                    </w:rPr>
                    <w:t>税（费）种</w:t>
                  </w:r>
                </w:p>
              </w:tc>
              <w:tc>
                <w:tcPr>
                  <w:tcW w:w="840" w:type="dxa"/>
                  <w:shd w:val="clear" w:color="auto" w:fill="auto"/>
                  <w:vAlign w:val="center"/>
                </w:tcPr>
                <w:p w14:paraId="2632A130">
                  <w:pPr>
                    <w:pStyle w:val="4"/>
                    <w:jc w:val="center"/>
                    <w:rPr>
                      <w:sz w:val="15"/>
                      <w:szCs w:val="15"/>
                    </w:rPr>
                  </w:pPr>
                  <w:r>
                    <w:rPr>
                      <w:sz w:val="15"/>
                      <w:szCs w:val="15"/>
                    </w:rPr>
                    <w:t>计税（费）依据</w:t>
                  </w:r>
                </w:p>
              </w:tc>
              <w:tc>
                <w:tcPr>
                  <w:tcW w:w="678" w:type="dxa"/>
                  <w:vMerge w:val="restart"/>
                  <w:shd w:val="clear" w:color="auto" w:fill="auto"/>
                  <w:vAlign w:val="center"/>
                </w:tcPr>
                <w:p w14:paraId="20002182">
                  <w:pPr>
                    <w:pStyle w:val="4"/>
                    <w:jc w:val="center"/>
                    <w:rPr>
                      <w:sz w:val="15"/>
                      <w:szCs w:val="15"/>
                    </w:rPr>
                  </w:pPr>
                  <w:r>
                    <w:rPr>
                      <w:sz w:val="15"/>
                      <w:szCs w:val="15"/>
                    </w:rPr>
                    <w:t>税（费）率（%）</w:t>
                  </w:r>
                </w:p>
              </w:tc>
              <w:tc>
                <w:tcPr>
                  <w:tcW w:w="900" w:type="dxa"/>
                  <w:vMerge w:val="restart"/>
                  <w:shd w:val="clear" w:color="auto" w:fill="auto"/>
                  <w:vAlign w:val="center"/>
                </w:tcPr>
                <w:p w14:paraId="0565FC88">
                  <w:pPr>
                    <w:pStyle w:val="4"/>
                    <w:jc w:val="center"/>
                    <w:rPr>
                      <w:sz w:val="15"/>
                      <w:szCs w:val="15"/>
                    </w:rPr>
                  </w:pPr>
                  <w:r>
                    <w:rPr>
                      <w:sz w:val="15"/>
                      <w:szCs w:val="15"/>
                    </w:rPr>
                    <w:t>本期应纳税（费）额</w:t>
                  </w:r>
                </w:p>
              </w:tc>
              <w:tc>
                <w:tcPr>
                  <w:tcW w:w="1468" w:type="dxa"/>
                  <w:gridSpan w:val="2"/>
                  <w:shd w:val="clear" w:color="auto" w:fill="auto"/>
                  <w:vAlign w:val="center"/>
                </w:tcPr>
                <w:p w14:paraId="6DD76793">
                  <w:pPr>
                    <w:pStyle w:val="4"/>
                    <w:jc w:val="center"/>
                    <w:rPr>
                      <w:sz w:val="15"/>
                      <w:szCs w:val="15"/>
                    </w:rPr>
                  </w:pPr>
                  <w:r>
                    <w:rPr>
                      <w:sz w:val="15"/>
                      <w:szCs w:val="15"/>
                    </w:rPr>
                    <w:t>本期减免税（费）额</w:t>
                  </w:r>
                </w:p>
              </w:tc>
              <w:tc>
                <w:tcPr>
                  <w:tcW w:w="1799" w:type="dxa"/>
                  <w:gridSpan w:val="2"/>
                  <w:shd w:val="clear" w:color="auto" w:fill="auto"/>
                  <w:vAlign w:val="center"/>
                </w:tcPr>
                <w:p w14:paraId="645A40CE">
                  <w:pPr>
                    <w:pStyle w:val="4"/>
                    <w:jc w:val="center"/>
                    <w:rPr>
                      <w:sz w:val="15"/>
                      <w:szCs w:val="15"/>
                    </w:rPr>
                  </w:pPr>
                  <w:r>
                    <w:rPr>
                      <w:rFonts w:hint="eastAsia"/>
                      <w:sz w:val="15"/>
                      <w:szCs w:val="15"/>
                    </w:rPr>
                    <w:t>小微企业“</w:t>
                  </w:r>
                  <w:r>
                    <w:rPr>
                      <w:sz w:val="15"/>
                      <w:szCs w:val="15"/>
                    </w:rPr>
                    <w:t>六税两费</w:t>
                  </w:r>
                  <w:r>
                    <w:rPr>
                      <w:rFonts w:hint="eastAsia"/>
                      <w:sz w:val="15"/>
                      <w:szCs w:val="15"/>
                    </w:rPr>
                    <w:t>”</w:t>
                  </w:r>
                  <w:r>
                    <w:rPr>
                      <w:sz w:val="15"/>
                      <w:szCs w:val="15"/>
                    </w:rPr>
                    <w:br w:type="textWrapping"/>
                  </w:r>
                  <w:r>
                    <w:rPr>
                      <w:rFonts w:hint="eastAsia"/>
                      <w:sz w:val="15"/>
                      <w:szCs w:val="15"/>
                    </w:rPr>
                    <w:t>减免政策</w:t>
                  </w:r>
                </w:p>
              </w:tc>
              <w:tc>
                <w:tcPr>
                  <w:tcW w:w="761" w:type="dxa"/>
                  <w:vMerge w:val="restart"/>
                  <w:shd w:val="clear" w:color="auto" w:fill="auto"/>
                  <w:vAlign w:val="center"/>
                </w:tcPr>
                <w:p w14:paraId="59DAB2E8">
                  <w:pPr>
                    <w:pStyle w:val="4"/>
                    <w:jc w:val="center"/>
                    <w:rPr>
                      <w:sz w:val="15"/>
                      <w:szCs w:val="15"/>
                    </w:rPr>
                  </w:pPr>
                  <w:r>
                    <w:rPr>
                      <w:sz w:val="15"/>
                      <w:szCs w:val="15"/>
                    </w:rPr>
                    <w:t>本期已</w:t>
                  </w:r>
                  <w:r>
                    <w:rPr>
                      <w:sz w:val="15"/>
                      <w:szCs w:val="15"/>
                    </w:rPr>
                    <w:br w:type="textWrapping"/>
                  </w:r>
                  <w:r>
                    <w:rPr>
                      <w:sz w:val="15"/>
                      <w:szCs w:val="15"/>
                    </w:rPr>
                    <w:t>缴税</w:t>
                  </w:r>
                  <w:r>
                    <w:rPr>
                      <w:sz w:val="15"/>
                      <w:szCs w:val="15"/>
                    </w:rPr>
                    <w:br w:type="textWrapping"/>
                  </w:r>
                  <w:r>
                    <w:rPr>
                      <w:sz w:val="15"/>
                      <w:szCs w:val="15"/>
                    </w:rPr>
                    <w:t>（费）额</w:t>
                  </w:r>
                </w:p>
              </w:tc>
              <w:tc>
                <w:tcPr>
                  <w:tcW w:w="828" w:type="dxa"/>
                  <w:vMerge w:val="restart"/>
                  <w:shd w:val="clear" w:color="auto" w:fill="auto"/>
                  <w:vAlign w:val="center"/>
                </w:tcPr>
                <w:p w14:paraId="6451C044">
                  <w:pPr>
                    <w:pStyle w:val="4"/>
                    <w:jc w:val="center"/>
                    <w:rPr>
                      <w:sz w:val="15"/>
                      <w:szCs w:val="15"/>
                    </w:rPr>
                  </w:pPr>
                  <w:r>
                    <w:rPr>
                      <w:sz w:val="15"/>
                      <w:szCs w:val="15"/>
                    </w:rPr>
                    <w:t>本期应补（退）税</w:t>
                  </w:r>
                  <w:r>
                    <w:rPr>
                      <w:sz w:val="15"/>
                      <w:szCs w:val="15"/>
                    </w:rPr>
                    <w:br w:type="textWrapping"/>
                  </w:r>
                  <w:r>
                    <w:rPr>
                      <w:rFonts w:hint="eastAsia"/>
                      <w:sz w:val="15"/>
                      <w:szCs w:val="15"/>
                    </w:rPr>
                    <w:t>（费）额</w:t>
                  </w:r>
                </w:p>
              </w:tc>
            </w:tr>
            <w:tr w14:paraId="3EF5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6" w:hRule="atLeast"/>
                <w:jc w:val="center"/>
              </w:trPr>
              <w:tc>
                <w:tcPr>
                  <w:tcW w:w="669" w:type="dxa"/>
                  <w:vMerge w:val="continue"/>
                  <w:shd w:val="clear" w:color="auto" w:fill="auto"/>
                  <w:vAlign w:val="center"/>
                </w:tcPr>
                <w:p w14:paraId="112407EF">
                  <w:pPr>
                    <w:pStyle w:val="4"/>
                    <w:jc w:val="center"/>
                    <w:rPr>
                      <w:sz w:val="15"/>
                      <w:szCs w:val="15"/>
                    </w:rPr>
                  </w:pPr>
                </w:p>
              </w:tc>
              <w:tc>
                <w:tcPr>
                  <w:tcW w:w="840" w:type="dxa"/>
                  <w:shd w:val="clear" w:color="auto" w:fill="auto"/>
                  <w:vAlign w:val="center"/>
                </w:tcPr>
                <w:p w14:paraId="2071A204">
                  <w:pPr>
                    <w:pStyle w:val="4"/>
                    <w:jc w:val="center"/>
                    <w:rPr>
                      <w:sz w:val="15"/>
                      <w:szCs w:val="15"/>
                    </w:rPr>
                  </w:pPr>
                  <w:r>
                    <w:rPr>
                      <w:sz w:val="15"/>
                      <w:szCs w:val="15"/>
                    </w:rPr>
                    <w:t>消费税</w:t>
                  </w:r>
                  <w:r>
                    <w:rPr>
                      <w:sz w:val="15"/>
                      <w:szCs w:val="15"/>
                    </w:rPr>
                    <w:br w:type="textWrapping"/>
                  </w:r>
                  <w:r>
                    <w:rPr>
                      <w:sz w:val="15"/>
                      <w:szCs w:val="15"/>
                    </w:rPr>
                    <w:t>税额</w:t>
                  </w:r>
                </w:p>
              </w:tc>
              <w:tc>
                <w:tcPr>
                  <w:tcW w:w="678" w:type="dxa"/>
                  <w:vMerge w:val="continue"/>
                  <w:shd w:val="clear" w:color="auto" w:fill="auto"/>
                  <w:vAlign w:val="center"/>
                </w:tcPr>
                <w:p w14:paraId="3E1DA42F">
                  <w:pPr>
                    <w:pStyle w:val="4"/>
                    <w:jc w:val="center"/>
                    <w:rPr>
                      <w:sz w:val="15"/>
                      <w:szCs w:val="15"/>
                    </w:rPr>
                  </w:pPr>
                </w:p>
              </w:tc>
              <w:tc>
                <w:tcPr>
                  <w:tcW w:w="900" w:type="dxa"/>
                  <w:vMerge w:val="continue"/>
                  <w:shd w:val="clear" w:color="auto" w:fill="auto"/>
                  <w:vAlign w:val="center"/>
                </w:tcPr>
                <w:p w14:paraId="10B35488">
                  <w:pPr>
                    <w:pStyle w:val="4"/>
                    <w:jc w:val="center"/>
                    <w:rPr>
                      <w:sz w:val="15"/>
                      <w:szCs w:val="15"/>
                    </w:rPr>
                  </w:pPr>
                </w:p>
              </w:tc>
              <w:tc>
                <w:tcPr>
                  <w:tcW w:w="702" w:type="dxa"/>
                  <w:shd w:val="clear" w:color="auto" w:fill="auto"/>
                  <w:vAlign w:val="center"/>
                </w:tcPr>
                <w:p w14:paraId="7022131E">
                  <w:pPr>
                    <w:pStyle w:val="4"/>
                    <w:jc w:val="center"/>
                    <w:rPr>
                      <w:sz w:val="15"/>
                      <w:szCs w:val="15"/>
                    </w:rPr>
                  </w:pPr>
                  <w:r>
                    <w:rPr>
                      <w:sz w:val="15"/>
                      <w:szCs w:val="15"/>
                    </w:rPr>
                    <w:t>减免性质代码</w:t>
                  </w:r>
                </w:p>
              </w:tc>
              <w:tc>
                <w:tcPr>
                  <w:tcW w:w="766" w:type="dxa"/>
                  <w:shd w:val="clear" w:color="auto" w:fill="auto"/>
                  <w:vAlign w:val="center"/>
                </w:tcPr>
                <w:p w14:paraId="79BC63BC">
                  <w:pPr>
                    <w:pStyle w:val="4"/>
                    <w:jc w:val="center"/>
                    <w:rPr>
                      <w:sz w:val="15"/>
                      <w:szCs w:val="15"/>
                    </w:rPr>
                  </w:pPr>
                  <w:r>
                    <w:rPr>
                      <w:sz w:val="15"/>
                      <w:szCs w:val="15"/>
                    </w:rPr>
                    <w:t>减免税（费）额</w:t>
                  </w:r>
                </w:p>
              </w:tc>
              <w:tc>
                <w:tcPr>
                  <w:tcW w:w="920" w:type="dxa"/>
                  <w:shd w:val="clear" w:color="auto" w:fill="auto"/>
                  <w:vAlign w:val="center"/>
                </w:tcPr>
                <w:p w14:paraId="5E06C727">
                  <w:pPr>
                    <w:pStyle w:val="4"/>
                    <w:jc w:val="center"/>
                    <w:rPr>
                      <w:sz w:val="15"/>
                      <w:szCs w:val="15"/>
                    </w:rPr>
                  </w:pPr>
                  <w:r>
                    <w:rPr>
                      <w:rFonts w:hint="eastAsia"/>
                      <w:sz w:val="15"/>
                      <w:szCs w:val="15"/>
                    </w:rPr>
                    <w:t>减征比例（%）</w:t>
                  </w:r>
                </w:p>
              </w:tc>
              <w:tc>
                <w:tcPr>
                  <w:tcW w:w="879" w:type="dxa"/>
                  <w:shd w:val="clear" w:color="auto" w:fill="auto"/>
                  <w:vAlign w:val="center"/>
                </w:tcPr>
                <w:p w14:paraId="35D3F171">
                  <w:pPr>
                    <w:pStyle w:val="4"/>
                    <w:jc w:val="center"/>
                    <w:rPr>
                      <w:sz w:val="15"/>
                      <w:szCs w:val="15"/>
                    </w:rPr>
                  </w:pPr>
                  <w:r>
                    <w:rPr>
                      <w:rFonts w:hint="eastAsia"/>
                      <w:sz w:val="15"/>
                      <w:szCs w:val="15"/>
                    </w:rPr>
                    <w:t>减征额</w:t>
                  </w:r>
                </w:p>
              </w:tc>
              <w:tc>
                <w:tcPr>
                  <w:tcW w:w="761" w:type="dxa"/>
                  <w:vMerge w:val="continue"/>
                  <w:shd w:val="clear" w:color="auto" w:fill="auto"/>
                  <w:vAlign w:val="center"/>
                </w:tcPr>
                <w:p w14:paraId="3D8D1D81">
                  <w:pPr>
                    <w:pStyle w:val="4"/>
                    <w:jc w:val="center"/>
                    <w:rPr>
                      <w:sz w:val="15"/>
                      <w:szCs w:val="15"/>
                    </w:rPr>
                  </w:pPr>
                </w:p>
              </w:tc>
              <w:tc>
                <w:tcPr>
                  <w:tcW w:w="828" w:type="dxa"/>
                  <w:vMerge w:val="continue"/>
                  <w:shd w:val="clear" w:color="auto" w:fill="auto"/>
                  <w:vAlign w:val="center"/>
                </w:tcPr>
                <w:p w14:paraId="57C7DE0D">
                  <w:pPr>
                    <w:pStyle w:val="4"/>
                    <w:jc w:val="center"/>
                    <w:rPr>
                      <w:sz w:val="15"/>
                      <w:szCs w:val="15"/>
                    </w:rPr>
                  </w:pPr>
                </w:p>
              </w:tc>
            </w:tr>
            <w:tr w14:paraId="753B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 w:hRule="atLeast"/>
                <w:jc w:val="center"/>
              </w:trPr>
              <w:tc>
                <w:tcPr>
                  <w:tcW w:w="669" w:type="dxa"/>
                  <w:vMerge w:val="continue"/>
                  <w:shd w:val="clear" w:color="auto" w:fill="auto"/>
                  <w:vAlign w:val="center"/>
                </w:tcPr>
                <w:p w14:paraId="08E965E4">
                  <w:pPr>
                    <w:pStyle w:val="4"/>
                    <w:jc w:val="center"/>
                    <w:rPr>
                      <w:sz w:val="15"/>
                      <w:szCs w:val="15"/>
                    </w:rPr>
                  </w:pPr>
                </w:p>
              </w:tc>
              <w:tc>
                <w:tcPr>
                  <w:tcW w:w="840" w:type="dxa"/>
                  <w:shd w:val="clear" w:color="auto" w:fill="auto"/>
                  <w:vAlign w:val="center"/>
                </w:tcPr>
                <w:p w14:paraId="3C1C1D81">
                  <w:pPr>
                    <w:pStyle w:val="4"/>
                    <w:jc w:val="center"/>
                    <w:rPr>
                      <w:sz w:val="15"/>
                      <w:szCs w:val="15"/>
                    </w:rPr>
                  </w:pPr>
                  <w:r>
                    <w:rPr>
                      <w:rFonts w:hint="eastAsia"/>
                      <w:sz w:val="15"/>
                      <w:szCs w:val="15"/>
                    </w:rPr>
                    <w:t>1</w:t>
                  </w:r>
                </w:p>
              </w:tc>
              <w:tc>
                <w:tcPr>
                  <w:tcW w:w="678" w:type="dxa"/>
                  <w:shd w:val="clear" w:color="auto" w:fill="auto"/>
                  <w:vAlign w:val="center"/>
                </w:tcPr>
                <w:p w14:paraId="24A81F12">
                  <w:pPr>
                    <w:pStyle w:val="4"/>
                    <w:jc w:val="center"/>
                    <w:rPr>
                      <w:sz w:val="15"/>
                      <w:szCs w:val="15"/>
                    </w:rPr>
                  </w:pPr>
                  <w:r>
                    <w:rPr>
                      <w:rFonts w:hint="eastAsia"/>
                      <w:sz w:val="15"/>
                      <w:szCs w:val="15"/>
                    </w:rPr>
                    <w:t>2</w:t>
                  </w:r>
                </w:p>
              </w:tc>
              <w:tc>
                <w:tcPr>
                  <w:tcW w:w="900" w:type="dxa"/>
                  <w:shd w:val="clear" w:color="auto" w:fill="auto"/>
                  <w:vAlign w:val="center"/>
                </w:tcPr>
                <w:p w14:paraId="575AE3DB">
                  <w:pPr>
                    <w:pStyle w:val="4"/>
                    <w:jc w:val="center"/>
                    <w:rPr>
                      <w:sz w:val="15"/>
                      <w:szCs w:val="15"/>
                    </w:rPr>
                  </w:pPr>
                  <w:r>
                    <w:rPr>
                      <w:rFonts w:hint="eastAsia"/>
                      <w:sz w:val="15"/>
                      <w:szCs w:val="15"/>
                    </w:rPr>
                    <w:t>3=</w:t>
                  </w:r>
                  <w:r>
                    <w:rPr>
                      <w:sz w:val="15"/>
                      <w:szCs w:val="15"/>
                    </w:rPr>
                    <w:t>1×2</w:t>
                  </w:r>
                </w:p>
              </w:tc>
              <w:tc>
                <w:tcPr>
                  <w:tcW w:w="702" w:type="dxa"/>
                  <w:shd w:val="clear" w:color="auto" w:fill="auto"/>
                  <w:vAlign w:val="center"/>
                </w:tcPr>
                <w:p w14:paraId="48390224">
                  <w:pPr>
                    <w:pStyle w:val="4"/>
                    <w:jc w:val="center"/>
                    <w:rPr>
                      <w:sz w:val="15"/>
                      <w:szCs w:val="15"/>
                    </w:rPr>
                  </w:pPr>
                  <w:r>
                    <w:rPr>
                      <w:rFonts w:hint="eastAsia"/>
                      <w:sz w:val="15"/>
                      <w:szCs w:val="15"/>
                    </w:rPr>
                    <w:t>4</w:t>
                  </w:r>
                </w:p>
              </w:tc>
              <w:tc>
                <w:tcPr>
                  <w:tcW w:w="766" w:type="dxa"/>
                  <w:shd w:val="clear" w:color="auto" w:fill="auto"/>
                  <w:vAlign w:val="center"/>
                </w:tcPr>
                <w:p w14:paraId="4AC8073B">
                  <w:pPr>
                    <w:pStyle w:val="4"/>
                    <w:jc w:val="center"/>
                    <w:rPr>
                      <w:sz w:val="15"/>
                      <w:szCs w:val="15"/>
                    </w:rPr>
                  </w:pPr>
                  <w:r>
                    <w:rPr>
                      <w:rFonts w:hint="eastAsia"/>
                      <w:sz w:val="15"/>
                      <w:szCs w:val="15"/>
                    </w:rPr>
                    <w:t>5</w:t>
                  </w:r>
                </w:p>
              </w:tc>
              <w:tc>
                <w:tcPr>
                  <w:tcW w:w="920" w:type="dxa"/>
                  <w:shd w:val="clear" w:color="auto" w:fill="auto"/>
                  <w:vAlign w:val="center"/>
                </w:tcPr>
                <w:p w14:paraId="42AEE396">
                  <w:pPr>
                    <w:pStyle w:val="4"/>
                    <w:jc w:val="center"/>
                    <w:rPr>
                      <w:sz w:val="15"/>
                      <w:szCs w:val="15"/>
                    </w:rPr>
                  </w:pPr>
                  <w:r>
                    <w:rPr>
                      <w:rFonts w:hint="eastAsia"/>
                      <w:sz w:val="15"/>
                      <w:szCs w:val="15"/>
                    </w:rPr>
                    <w:t>6</w:t>
                  </w:r>
                </w:p>
              </w:tc>
              <w:tc>
                <w:tcPr>
                  <w:tcW w:w="879" w:type="dxa"/>
                  <w:shd w:val="clear" w:color="auto" w:fill="auto"/>
                  <w:vAlign w:val="center"/>
                </w:tcPr>
                <w:p w14:paraId="652FB950">
                  <w:pPr>
                    <w:pStyle w:val="4"/>
                    <w:jc w:val="center"/>
                    <w:rPr>
                      <w:sz w:val="15"/>
                      <w:szCs w:val="15"/>
                    </w:rPr>
                  </w:pPr>
                  <w:r>
                    <w:rPr>
                      <w:rFonts w:hint="eastAsia"/>
                      <w:sz w:val="15"/>
                      <w:szCs w:val="15"/>
                    </w:rPr>
                    <w:t>7</w:t>
                  </w:r>
                  <w:r>
                    <w:rPr>
                      <w:sz w:val="15"/>
                      <w:szCs w:val="15"/>
                    </w:rPr>
                    <w:t>=</w:t>
                  </w:r>
                  <w:r>
                    <w:rPr>
                      <w:rFonts w:hint="eastAsia"/>
                      <w:sz w:val="15"/>
                      <w:szCs w:val="15"/>
                    </w:rPr>
                    <w:t>（</w:t>
                  </w:r>
                  <w:r>
                    <w:rPr>
                      <w:sz w:val="15"/>
                      <w:szCs w:val="15"/>
                    </w:rPr>
                    <w:t>3−5</w:t>
                  </w:r>
                  <w:r>
                    <w:rPr>
                      <w:rFonts w:hint="eastAsia"/>
                      <w:sz w:val="15"/>
                      <w:szCs w:val="15"/>
                    </w:rPr>
                    <w:t>）</w:t>
                  </w:r>
                  <w:r>
                    <w:rPr>
                      <w:sz w:val="15"/>
                      <w:szCs w:val="15"/>
                    </w:rPr>
                    <w:t>×6</w:t>
                  </w:r>
                </w:p>
              </w:tc>
              <w:tc>
                <w:tcPr>
                  <w:tcW w:w="761" w:type="dxa"/>
                  <w:shd w:val="clear" w:color="auto" w:fill="auto"/>
                  <w:vAlign w:val="center"/>
                </w:tcPr>
                <w:p w14:paraId="5A1BA726">
                  <w:pPr>
                    <w:pStyle w:val="4"/>
                    <w:jc w:val="center"/>
                    <w:rPr>
                      <w:sz w:val="15"/>
                      <w:szCs w:val="15"/>
                    </w:rPr>
                  </w:pPr>
                  <w:r>
                    <w:rPr>
                      <w:rFonts w:hint="eastAsia"/>
                      <w:sz w:val="15"/>
                      <w:szCs w:val="15"/>
                    </w:rPr>
                    <w:t>8</w:t>
                  </w:r>
                </w:p>
              </w:tc>
              <w:tc>
                <w:tcPr>
                  <w:tcW w:w="828" w:type="dxa"/>
                  <w:shd w:val="clear" w:color="auto" w:fill="auto"/>
                  <w:vAlign w:val="center"/>
                </w:tcPr>
                <w:p w14:paraId="6065059D">
                  <w:pPr>
                    <w:pStyle w:val="4"/>
                    <w:jc w:val="center"/>
                    <w:rPr>
                      <w:sz w:val="15"/>
                      <w:szCs w:val="15"/>
                    </w:rPr>
                  </w:pPr>
                  <w:r>
                    <w:rPr>
                      <w:rFonts w:hint="eastAsia"/>
                      <w:sz w:val="15"/>
                      <w:szCs w:val="15"/>
                    </w:rPr>
                    <w:t>9</w:t>
                  </w:r>
                  <w:r>
                    <w:rPr>
                      <w:sz w:val="15"/>
                      <w:szCs w:val="15"/>
                    </w:rPr>
                    <w:t>=3−5−7−8</w:t>
                  </w:r>
                </w:p>
              </w:tc>
            </w:tr>
            <w:tr w14:paraId="2CD21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 w:hRule="atLeast"/>
                <w:jc w:val="center"/>
              </w:trPr>
              <w:tc>
                <w:tcPr>
                  <w:tcW w:w="669" w:type="dxa"/>
                  <w:shd w:val="clear" w:color="auto" w:fill="auto"/>
                  <w:vAlign w:val="center"/>
                </w:tcPr>
                <w:p w14:paraId="28D41185">
                  <w:pPr>
                    <w:pStyle w:val="4"/>
                    <w:jc w:val="center"/>
                    <w:rPr>
                      <w:sz w:val="15"/>
                      <w:szCs w:val="15"/>
                    </w:rPr>
                  </w:pPr>
                  <w:r>
                    <w:rPr>
                      <w:sz w:val="15"/>
                      <w:szCs w:val="15"/>
                    </w:rPr>
                    <w:t>城市维护</w:t>
                  </w:r>
                  <w:r>
                    <w:rPr>
                      <w:sz w:val="15"/>
                      <w:szCs w:val="15"/>
                    </w:rPr>
                    <w:br w:type="textWrapping"/>
                  </w:r>
                  <w:r>
                    <w:rPr>
                      <w:sz w:val="15"/>
                      <w:szCs w:val="15"/>
                    </w:rPr>
                    <w:t>建设税</w:t>
                  </w:r>
                </w:p>
              </w:tc>
              <w:tc>
                <w:tcPr>
                  <w:tcW w:w="840" w:type="dxa"/>
                  <w:shd w:val="clear" w:color="auto" w:fill="auto"/>
                  <w:vAlign w:val="center"/>
                </w:tcPr>
                <w:p w14:paraId="4A9BCA08">
                  <w:pPr>
                    <w:pStyle w:val="4"/>
                    <w:jc w:val="center"/>
                    <w:rPr>
                      <w:sz w:val="15"/>
                      <w:szCs w:val="15"/>
                    </w:rPr>
                  </w:pPr>
                </w:p>
              </w:tc>
              <w:tc>
                <w:tcPr>
                  <w:tcW w:w="678" w:type="dxa"/>
                  <w:shd w:val="clear" w:color="auto" w:fill="auto"/>
                  <w:vAlign w:val="center"/>
                </w:tcPr>
                <w:p w14:paraId="0351A4F1">
                  <w:pPr>
                    <w:pStyle w:val="4"/>
                    <w:jc w:val="center"/>
                    <w:rPr>
                      <w:sz w:val="15"/>
                      <w:szCs w:val="15"/>
                    </w:rPr>
                  </w:pPr>
                </w:p>
              </w:tc>
              <w:tc>
                <w:tcPr>
                  <w:tcW w:w="900" w:type="dxa"/>
                  <w:shd w:val="clear" w:color="auto" w:fill="auto"/>
                  <w:vAlign w:val="center"/>
                </w:tcPr>
                <w:p w14:paraId="0AD06C05">
                  <w:pPr>
                    <w:pStyle w:val="4"/>
                    <w:jc w:val="center"/>
                    <w:rPr>
                      <w:sz w:val="15"/>
                      <w:szCs w:val="15"/>
                    </w:rPr>
                  </w:pPr>
                </w:p>
              </w:tc>
              <w:tc>
                <w:tcPr>
                  <w:tcW w:w="702" w:type="dxa"/>
                  <w:shd w:val="clear" w:color="auto" w:fill="auto"/>
                  <w:vAlign w:val="center"/>
                </w:tcPr>
                <w:p w14:paraId="1FA6C0E1">
                  <w:pPr>
                    <w:pStyle w:val="4"/>
                    <w:jc w:val="center"/>
                    <w:rPr>
                      <w:sz w:val="15"/>
                      <w:szCs w:val="15"/>
                    </w:rPr>
                  </w:pPr>
                </w:p>
              </w:tc>
              <w:tc>
                <w:tcPr>
                  <w:tcW w:w="766" w:type="dxa"/>
                  <w:shd w:val="clear" w:color="auto" w:fill="auto"/>
                  <w:vAlign w:val="center"/>
                </w:tcPr>
                <w:p w14:paraId="59BDA70E">
                  <w:pPr>
                    <w:pStyle w:val="4"/>
                    <w:jc w:val="center"/>
                    <w:rPr>
                      <w:sz w:val="15"/>
                      <w:szCs w:val="15"/>
                    </w:rPr>
                  </w:pPr>
                </w:p>
              </w:tc>
              <w:tc>
                <w:tcPr>
                  <w:tcW w:w="920" w:type="dxa"/>
                  <w:shd w:val="clear" w:color="auto" w:fill="auto"/>
                  <w:vAlign w:val="center"/>
                </w:tcPr>
                <w:p w14:paraId="515BA124">
                  <w:pPr>
                    <w:pStyle w:val="4"/>
                    <w:jc w:val="center"/>
                    <w:rPr>
                      <w:sz w:val="15"/>
                      <w:szCs w:val="15"/>
                    </w:rPr>
                  </w:pPr>
                </w:p>
              </w:tc>
              <w:tc>
                <w:tcPr>
                  <w:tcW w:w="879" w:type="dxa"/>
                  <w:shd w:val="clear" w:color="auto" w:fill="auto"/>
                  <w:vAlign w:val="center"/>
                </w:tcPr>
                <w:p w14:paraId="27F6532F">
                  <w:pPr>
                    <w:pStyle w:val="4"/>
                    <w:jc w:val="center"/>
                    <w:rPr>
                      <w:sz w:val="15"/>
                      <w:szCs w:val="15"/>
                    </w:rPr>
                  </w:pPr>
                </w:p>
              </w:tc>
              <w:tc>
                <w:tcPr>
                  <w:tcW w:w="761" w:type="dxa"/>
                  <w:shd w:val="clear" w:color="auto" w:fill="auto"/>
                  <w:vAlign w:val="center"/>
                </w:tcPr>
                <w:p w14:paraId="2CD3CC4E">
                  <w:pPr>
                    <w:pStyle w:val="4"/>
                    <w:jc w:val="center"/>
                    <w:rPr>
                      <w:sz w:val="15"/>
                      <w:szCs w:val="15"/>
                    </w:rPr>
                  </w:pPr>
                </w:p>
              </w:tc>
              <w:tc>
                <w:tcPr>
                  <w:tcW w:w="828" w:type="dxa"/>
                  <w:shd w:val="clear" w:color="auto" w:fill="auto"/>
                  <w:vAlign w:val="center"/>
                </w:tcPr>
                <w:p w14:paraId="0D016DDD">
                  <w:pPr>
                    <w:pStyle w:val="4"/>
                    <w:jc w:val="center"/>
                    <w:rPr>
                      <w:sz w:val="15"/>
                      <w:szCs w:val="15"/>
                    </w:rPr>
                  </w:pPr>
                </w:p>
              </w:tc>
            </w:tr>
            <w:tr w14:paraId="452E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 w:hRule="atLeast"/>
                <w:jc w:val="center"/>
              </w:trPr>
              <w:tc>
                <w:tcPr>
                  <w:tcW w:w="669" w:type="dxa"/>
                  <w:shd w:val="clear" w:color="auto" w:fill="auto"/>
                  <w:vAlign w:val="center"/>
                </w:tcPr>
                <w:p w14:paraId="6D5B4F84">
                  <w:pPr>
                    <w:pStyle w:val="4"/>
                    <w:jc w:val="center"/>
                    <w:rPr>
                      <w:sz w:val="15"/>
                      <w:szCs w:val="15"/>
                    </w:rPr>
                  </w:pPr>
                  <w:r>
                    <w:rPr>
                      <w:sz w:val="15"/>
                      <w:szCs w:val="15"/>
                    </w:rPr>
                    <w:t>教育费附加</w:t>
                  </w:r>
                </w:p>
              </w:tc>
              <w:tc>
                <w:tcPr>
                  <w:tcW w:w="840" w:type="dxa"/>
                  <w:shd w:val="clear" w:color="auto" w:fill="auto"/>
                  <w:vAlign w:val="center"/>
                </w:tcPr>
                <w:p w14:paraId="16CD6B6A">
                  <w:pPr>
                    <w:pStyle w:val="4"/>
                    <w:jc w:val="center"/>
                    <w:rPr>
                      <w:sz w:val="15"/>
                      <w:szCs w:val="15"/>
                    </w:rPr>
                  </w:pPr>
                </w:p>
              </w:tc>
              <w:tc>
                <w:tcPr>
                  <w:tcW w:w="678" w:type="dxa"/>
                  <w:shd w:val="clear" w:color="auto" w:fill="auto"/>
                  <w:vAlign w:val="center"/>
                </w:tcPr>
                <w:p w14:paraId="3AC9E5FB">
                  <w:pPr>
                    <w:pStyle w:val="4"/>
                    <w:jc w:val="center"/>
                    <w:rPr>
                      <w:sz w:val="15"/>
                      <w:szCs w:val="15"/>
                    </w:rPr>
                  </w:pPr>
                </w:p>
              </w:tc>
              <w:tc>
                <w:tcPr>
                  <w:tcW w:w="900" w:type="dxa"/>
                  <w:shd w:val="clear" w:color="auto" w:fill="auto"/>
                  <w:vAlign w:val="center"/>
                </w:tcPr>
                <w:p w14:paraId="53BC9FA2">
                  <w:pPr>
                    <w:pStyle w:val="4"/>
                    <w:jc w:val="center"/>
                    <w:rPr>
                      <w:sz w:val="15"/>
                      <w:szCs w:val="15"/>
                    </w:rPr>
                  </w:pPr>
                </w:p>
              </w:tc>
              <w:tc>
                <w:tcPr>
                  <w:tcW w:w="702" w:type="dxa"/>
                  <w:shd w:val="clear" w:color="auto" w:fill="auto"/>
                  <w:vAlign w:val="center"/>
                </w:tcPr>
                <w:p w14:paraId="65985BE2">
                  <w:pPr>
                    <w:pStyle w:val="4"/>
                    <w:jc w:val="center"/>
                    <w:rPr>
                      <w:sz w:val="15"/>
                      <w:szCs w:val="15"/>
                    </w:rPr>
                  </w:pPr>
                </w:p>
              </w:tc>
              <w:tc>
                <w:tcPr>
                  <w:tcW w:w="766" w:type="dxa"/>
                  <w:shd w:val="clear" w:color="auto" w:fill="auto"/>
                  <w:vAlign w:val="center"/>
                </w:tcPr>
                <w:p w14:paraId="7D780B18">
                  <w:pPr>
                    <w:pStyle w:val="4"/>
                    <w:jc w:val="center"/>
                    <w:rPr>
                      <w:sz w:val="15"/>
                      <w:szCs w:val="15"/>
                    </w:rPr>
                  </w:pPr>
                </w:p>
              </w:tc>
              <w:tc>
                <w:tcPr>
                  <w:tcW w:w="920" w:type="dxa"/>
                  <w:shd w:val="clear" w:color="auto" w:fill="auto"/>
                  <w:vAlign w:val="center"/>
                </w:tcPr>
                <w:p w14:paraId="6D50DCF2">
                  <w:pPr>
                    <w:pStyle w:val="4"/>
                    <w:jc w:val="center"/>
                    <w:rPr>
                      <w:sz w:val="15"/>
                      <w:szCs w:val="15"/>
                    </w:rPr>
                  </w:pPr>
                </w:p>
              </w:tc>
              <w:tc>
                <w:tcPr>
                  <w:tcW w:w="879" w:type="dxa"/>
                  <w:shd w:val="clear" w:color="auto" w:fill="auto"/>
                  <w:vAlign w:val="center"/>
                </w:tcPr>
                <w:p w14:paraId="500F769B">
                  <w:pPr>
                    <w:pStyle w:val="4"/>
                    <w:jc w:val="center"/>
                    <w:rPr>
                      <w:sz w:val="15"/>
                      <w:szCs w:val="15"/>
                    </w:rPr>
                  </w:pPr>
                </w:p>
              </w:tc>
              <w:tc>
                <w:tcPr>
                  <w:tcW w:w="761" w:type="dxa"/>
                  <w:shd w:val="clear" w:color="auto" w:fill="auto"/>
                  <w:vAlign w:val="center"/>
                </w:tcPr>
                <w:p w14:paraId="7AA786CB">
                  <w:pPr>
                    <w:pStyle w:val="4"/>
                    <w:jc w:val="center"/>
                    <w:rPr>
                      <w:sz w:val="15"/>
                      <w:szCs w:val="15"/>
                    </w:rPr>
                  </w:pPr>
                </w:p>
              </w:tc>
              <w:tc>
                <w:tcPr>
                  <w:tcW w:w="828" w:type="dxa"/>
                  <w:shd w:val="clear" w:color="auto" w:fill="auto"/>
                  <w:vAlign w:val="center"/>
                </w:tcPr>
                <w:p w14:paraId="2EAC0252">
                  <w:pPr>
                    <w:pStyle w:val="4"/>
                    <w:jc w:val="center"/>
                    <w:rPr>
                      <w:sz w:val="15"/>
                      <w:szCs w:val="15"/>
                    </w:rPr>
                  </w:pPr>
                </w:p>
              </w:tc>
            </w:tr>
            <w:tr w14:paraId="4961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 w:hRule="atLeast"/>
                <w:jc w:val="center"/>
              </w:trPr>
              <w:tc>
                <w:tcPr>
                  <w:tcW w:w="669" w:type="dxa"/>
                  <w:shd w:val="clear" w:color="auto" w:fill="auto"/>
                  <w:vAlign w:val="center"/>
                </w:tcPr>
                <w:p w14:paraId="542D25BB">
                  <w:pPr>
                    <w:pStyle w:val="4"/>
                    <w:jc w:val="center"/>
                    <w:rPr>
                      <w:sz w:val="15"/>
                      <w:szCs w:val="15"/>
                    </w:rPr>
                  </w:pPr>
                  <w:r>
                    <w:rPr>
                      <w:sz w:val="15"/>
                      <w:szCs w:val="15"/>
                    </w:rPr>
                    <w:t>地方教育</w:t>
                  </w:r>
                  <w:r>
                    <w:rPr>
                      <w:sz w:val="15"/>
                      <w:szCs w:val="15"/>
                    </w:rPr>
                    <w:br w:type="textWrapping"/>
                  </w:r>
                  <w:r>
                    <w:rPr>
                      <w:sz w:val="15"/>
                      <w:szCs w:val="15"/>
                    </w:rPr>
                    <w:t>附加</w:t>
                  </w:r>
                </w:p>
              </w:tc>
              <w:tc>
                <w:tcPr>
                  <w:tcW w:w="840" w:type="dxa"/>
                  <w:shd w:val="clear" w:color="auto" w:fill="auto"/>
                  <w:vAlign w:val="center"/>
                </w:tcPr>
                <w:p w14:paraId="3106D435">
                  <w:pPr>
                    <w:pStyle w:val="4"/>
                    <w:jc w:val="center"/>
                    <w:rPr>
                      <w:sz w:val="15"/>
                      <w:szCs w:val="15"/>
                    </w:rPr>
                  </w:pPr>
                </w:p>
              </w:tc>
              <w:tc>
                <w:tcPr>
                  <w:tcW w:w="678" w:type="dxa"/>
                  <w:shd w:val="clear" w:color="auto" w:fill="auto"/>
                  <w:vAlign w:val="center"/>
                </w:tcPr>
                <w:p w14:paraId="3B708061">
                  <w:pPr>
                    <w:pStyle w:val="4"/>
                    <w:jc w:val="center"/>
                    <w:rPr>
                      <w:sz w:val="15"/>
                      <w:szCs w:val="15"/>
                    </w:rPr>
                  </w:pPr>
                </w:p>
              </w:tc>
              <w:tc>
                <w:tcPr>
                  <w:tcW w:w="900" w:type="dxa"/>
                  <w:shd w:val="clear" w:color="auto" w:fill="auto"/>
                  <w:vAlign w:val="center"/>
                </w:tcPr>
                <w:p w14:paraId="0AA8F636">
                  <w:pPr>
                    <w:pStyle w:val="4"/>
                    <w:jc w:val="center"/>
                    <w:rPr>
                      <w:sz w:val="15"/>
                      <w:szCs w:val="15"/>
                    </w:rPr>
                  </w:pPr>
                </w:p>
              </w:tc>
              <w:tc>
                <w:tcPr>
                  <w:tcW w:w="702" w:type="dxa"/>
                  <w:shd w:val="clear" w:color="auto" w:fill="auto"/>
                  <w:vAlign w:val="center"/>
                </w:tcPr>
                <w:p w14:paraId="6CC38527">
                  <w:pPr>
                    <w:pStyle w:val="4"/>
                    <w:jc w:val="center"/>
                    <w:rPr>
                      <w:sz w:val="15"/>
                      <w:szCs w:val="15"/>
                    </w:rPr>
                  </w:pPr>
                </w:p>
              </w:tc>
              <w:tc>
                <w:tcPr>
                  <w:tcW w:w="766" w:type="dxa"/>
                  <w:shd w:val="clear" w:color="auto" w:fill="auto"/>
                  <w:vAlign w:val="center"/>
                </w:tcPr>
                <w:p w14:paraId="51457086">
                  <w:pPr>
                    <w:pStyle w:val="4"/>
                    <w:jc w:val="center"/>
                    <w:rPr>
                      <w:sz w:val="15"/>
                      <w:szCs w:val="15"/>
                    </w:rPr>
                  </w:pPr>
                </w:p>
              </w:tc>
              <w:tc>
                <w:tcPr>
                  <w:tcW w:w="920" w:type="dxa"/>
                  <w:shd w:val="clear" w:color="auto" w:fill="auto"/>
                  <w:vAlign w:val="center"/>
                </w:tcPr>
                <w:p w14:paraId="3BA783B6">
                  <w:pPr>
                    <w:pStyle w:val="4"/>
                    <w:jc w:val="center"/>
                    <w:rPr>
                      <w:sz w:val="15"/>
                      <w:szCs w:val="15"/>
                    </w:rPr>
                  </w:pPr>
                </w:p>
              </w:tc>
              <w:tc>
                <w:tcPr>
                  <w:tcW w:w="879" w:type="dxa"/>
                  <w:shd w:val="clear" w:color="auto" w:fill="auto"/>
                  <w:vAlign w:val="center"/>
                </w:tcPr>
                <w:p w14:paraId="77E4FFC5">
                  <w:pPr>
                    <w:pStyle w:val="4"/>
                    <w:jc w:val="center"/>
                    <w:rPr>
                      <w:sz w:val="15"/>
                      <w:szCs w:val="15"/>
                    </w:rPr>
                  </w:pPr>
                </w:p>
              </w:tc>
              <w:tc>
                <w:tcPr>
                  <w:tcW w:w="761" w:type="dxa"/>
                  <w:shd w:val="clear" w:color="auto" w:fill="auto"/>
                  <w:vAlign w:val="center"/>
                </w:tcPr>
                <w:p w14:paraId="62C921B2">
                  <w:pPr>
                    <w:pStyle w:val="4"/>
                    <w:jc w:val="center"/>
                    <w:rPr>
                      <w:sz w:val="15"/>
                      <w:szCs w:val="15"/>
                    </w:rPr>
                  </w:pPr>
                </w:p>
              </w:tc>
              <w:tc>
                <w:tcPr>
                  <w:tcW w:w="828" w:type="dxa"/>
                  <w:shd w:val="clear" w:color="auto" w:fill="auto"/>
                  <w:vAlign w:val="center"/>
                </w:tcPr>
                <w:p w14:paraId="5F9EF936">
                  <w:pPr>
                    <w:pStyle w:val="4"/>
                    <w:jc w:val="center"/>
                    <w:rPr>
                      <w:sz w:val="15"/>
                      <w:szCs w:val="15"/>
                    </w:rPr>
                  </w:pPr>
                </w:p>
              </w:tc>
            </w:tr>
            <w:tr w14:paraId="68D3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 w:hRule="atLeast"/>
                <w:jc w:val="center"/>
              </w:trPr>
              <w:tc>
                <w:tcPr>
                  <w:tcW w:w="669" w:type="dxa"/>
                  <w:shd w:val="clear" w:color="auto" w:fill="auto"/>
                  <w:vAlign w:val="center"/>
                </w:tcPr>
                <w:p w14:paraId="484BAB1B">
                  <w:pPr>
                    <w:pStyle w:val="4"/>
                    <w:jc w:val="center"/>
                    <w:rPr>
                      <w:sz w:val="15"/>
                      <w:szCs w:val="15"/>
                    </w:rPr>
                  </w:pPr>
                  <w:r>
                    <w:rPr>
                      <w:sz w:val="15"/>
                      <w:szCs w:val="15"/>
                    </w:rPr>
                    <w:t>合计</w:t>
                  </w:r>
                </w:p>
              </w:tc>
              <w:tc>
                <w:tcPr>
                  <w:tcW w:w="840" w:type="dxa"/>
                  <w:shd w:val="clear" w:color="auto" w:fill="auto"/>
                  <w:vAlign w:val="center"/>
                </w:tcPr>
                <w:p w14:paraId="2C679643">
                  <w:pPr>
                    <w:pStyle w:val="4"/>
                    <w:jc w:val="center"/>
                    <w:rPr>
                      <w:rFonts w:ascii="宋体" w:hAnsi="宋体"/>
                      <w:sz w:val="15"/>
                      <w:szCs w:val="15"/>
                    </w:rPr>
                  </w:pPr>
                  <w:r>
                    <w:rPr>
                      <w:rFonts w:ascii="宋体" w:hAnsi="宋体"/>
                      <w:sz w:val="15"/>
                      <w:szCs w:val="15"/>
                    </w:rPr>
                    <w:t>—</w:t>
                  </w:r>
                </w:p>
              </w:tc>
              <w:tc>
                <w:tcPr>
                  <w:tcW w:w="678" w:type="dxa"/>
                  <w:shd w:val="clear" w:color="auto" w:fill="auto"/>
                  <w:vAlign w:val="center"/>
                </w:tcPr>
                <w:p w14:paraId="29A17268">
                  <w:pPr>
                    <w:pStyle w:val="4"/>
                    <w:jc w:val="center"/>
                    <w:rPr>
                      <w:sz w:val="15"/>
                      <w:szCs w:val="15"/>
                    </w:rPr>
                  </w:pPr>
                  <w:r>
                    <w:rPr>
                      <w:rFonts w:ascii="宋体" w:hAnsi="宋体"/>
                      <w:sz w:val="15"/>
                      <w:szCs w:val="15"/>
                    </w:rPr>
                    <w:t>—</w:t>
                  </w:r>
                </w:p>
              </w:tc>
              <w:tc>
                <w:tcPr>
                  <w:tcW w:w="900" w:type="dxa"/>
                  <w:shd w:val="clear" w:color="auto" w:fill="auto"/>
                  <w:vAlign w:val="center"/>
                </w:tcPr>
                <w:p w14:paraId="75EA16A5">
                  <w:pPr>
                    <w:pStyle w:val="4"/>
                    <w:jc w:val="center"/>
                    <w:rPr>
                      <w:sz w:val="15"/>
                      <w:szCs w:val="15"/>
                    </w:rPr>
                  </w:pPr>
                </w:p>
              </w:tc>
              <w:tc>
                <w:tcPr>
                  <w:tcW w:w="702" w:type="dxa"/>
                  <w:shd w:val="clear" w:color="auto" w:fill="auto"/>
                  <w:vAlign w:val="center"/>
                </w:tcPr>
                <w:p w14:paraId="15300FCF">
                  <w:pPr>
                    <w:pStyle w:val="4"/>
                    <w:jc w:val="center"/>
                    <w:rPr>
                      <w:sz w:val="15"/>
                      <w:szCs w:val="15"/>
                    </w:rPr>
                  </w:pPr>
                  <w:r>
                    <w:rPr>
                      <w:rFonts w:ascii="宋体" w:hAnsi="宋体"/>
                      <w:sz w:val="15"/>
                      <w:szCs w:val="15"/>
                    </w:rPr>
                    <w:t>—</w:t>
                  </w:r>
                </w:p>
              </w:tc>
              <w:tc>
                <w:tcPr>
                  <w:tcW w:w="766" w:type="dxa"/>
                  <w:shd w:val="clear" w:color="auto" w:fill="auto"/>
                  <w:vAlign w:val="center"/>
                </w:tcPr>
                <w:p w14:paraId="2CD0A93A">
                  <w:pPr>
                    <w:pStyle w:val="4"/>
                    <w:jc w:val="center"/>
                    <w:rPr>
                      <w:sz w:val="15"/>
                      <w:szCs w:val="15"/>
                    </w:rPr>
                  </w:pPr>
                </w:p>
              </w:tc>
              <w:tc>
                <w:tcPr>
                  <w:tcW w:w="920" w:type="dxa"/>
                  <w:shd w:val="clear" w:color="auto" w:fill="auto"/>
                  <w:vAlign w:val="center"/>
                </w:tcPr>
                <w:p w14:paraId="35A608C2">
                  <w:pPr>
                    <w:pStyle w:val="4"/>
                    <w:jc w:val="center"/>
                    <w:rPr>
                      <w:sz w:val="15"/>
                      <w:szCs w:val="15"/>
                    </w:rPr>
                  </w:pPr>
                  <w:r>
                    <w:rPr>
                      <w:rFonts w:ascii="宋体" w:hAnsi="宋体"/>
                      <w:sz w:val="15"/>
                      <w:szCs w:val="15"/>
                    </w:rPr>
                    <w:t>—</w:t>
                  </w:r>
                </w:p>
              </w:tc>
              <w:tc>
                <w:tcPr>
                  <w:tcW w:w="879" w:type="dxa"/>
                  <w:shd w:val="clear" w:color="auto" w:fill="auto"/>
                  <w:vAlign w:val="center"/>
                </w:tcPr>
                <w:p w14:paraId="1200E813">
                  <w:pPr>
                    <w:pStyle w:val="4"/>
                    <w:jc w:val="center"/>
                    <w:rPr>
                      <w:sz w:val="15"/>
                      <w:szCs w:val="15"/>
                    </w:rPr>
                  </w:pPr>
                </w:p>
              </w:tc>
              <w:tc>
                <w:tcPr>
                  <w:tcW w:w="761" w:type="dxa"/>
                  <w:shd w:val="clear" w:color="auto" w:fill="auto"/>
                  <w:vAlign w:val="center"/>
                </w:tcPr>
                <w:p w14:paraId="474C293B">
                  <w:pPr>
                    <w:pStyle w:val="4"/>
                    <w:jc w:val="center"/>
                    <w:rPr>
                      <w:sz w:val="15"/>
                      <w:szCs w:val="15"/>
                    </w:rPr>
                  </w:pPr>
                </w:p>
              </w:tc>
              <w:tc>
                <w:tcPr>
                  <w:tcW w:w="828" w:type="dxa"/>
                  <w:shd w:val="clear" w:color="auto" w:fill="auto"/>
                  <w:vAlign w:val="center"/>
                </w:tcPr>
                <w:p w14:paraId="11D33E24">
                  <w:pPr>
                    <w:pStyle w:val="4"/>
                    <w:jc w:val="center"/>
                    <w:rPr>
                      <w:sz w:val="15"/>
                      <w:szCs w:val="15"/>
                    </w:rPr>
                  </w:pPr>
                </w:p>
              </w:tc>
            </w:tr>
          </w:tbl>
          <w:p w14:paraId="28F1949C">
            <w:pPr>
              <w:pStyle w:val="4"/>
              <w:ind w:firstLine="360" w:firstLineChars="200"/>
              <w:jc w:val="left"/>
              <w:rPr>
                <w:lang w:bidi="ar"/>
              </w:rPr>
            </w:pPr>
            <w:r>
              <w:rPr>
                <w:rFonts w:hint="eastAsia"/>
                <w:lang w:bidi="ar"/>
              </w:rPr>
              <w:t>注：根据《关于进一步实施小微企业“六税两费”减免政策的公告》（财政部 税务总局公告2022年第10号）的规定，本表的适用期限为2022年1月1日至2024年12月31日。</w:t>
            </w:r>
          </w:p>
          <w:p w14:paraId="19192CFA">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3F2AA94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【教师】组织学生观看“表</w:t>
            </w:r>
            <w:r>
              <w:rPr>
                <w:rFonts w:hint="eastAsia" w:ascii="微软雅黑" w:hAnsi="微软雅黑" w:eastAsia="微软雅黑" w:cs="MS Mincho"/>
                <w:b/>
                <w:sz w:val="18"/>
                <w:szCs w:val="18"/>
                <w:lang w:val="en-US" w:eastAsia="zh-CN"/>
              </w:rPr>
              <w:t>9</w:t>
            </w:r>
            <w:r>
              <w:rPr>
                <w:rFonts w:ascii="微软雅黑" w:hAnsi="微软雅黑" w:eastAsia="微软雅黑" w:cs="MS Mincho"/>
                <w:b/>
                <w:sz w:val="18"/>
                <w:szCs w:val="18"/>
              </w:rPr>
              <w:t>-1填写说明</w:t>
            </w:r>
            <w:r>
              <w:rPr>
                <w:rFonts w:hint="eastAsia" w:ascii="微软雅黑" w:hAnsi="微软雅黑" w:eastAsia="微软雅黑" w:cs="MS Mincho"/>
                <w:b/>
                <w:sz w:val="18"/>
                <w:szCs w:val="18"/>
              </w:rPr>
              <w:t>”和“表</w:t>
            </w:r>
            <w:r>
              <w:rPr>
                <w:rFonts w:hint="eastAsia" w:ascii="微软雅黑" w:hAnsi="微软雅黑" w:eastAsia="微软雅黑" w:cs="MS Mincho"/>
                <w:b/>
                <w:sz w:val="18"/>
                <w:szCs w:val="18"/>
                <w:lang w:val="en-US" w:eastAsia="zh-CN"/>
              </w:rPr>
              <w:t>9</w:t>
            </w:r>
            <w:r>
              <w:rPr>
                <w:rFonts w:ascii="微软雅黑" w:hAnsi="微软雅黑" w:eastAsia="微软雅黑" w:cs="MS Mincho"/>
                <w:b/>
                <w:sz w:val="18"/>
                <w:szCs w:val="18"/>
              </w:rPr>
              <w:t>-2填写说明”</w:t>
            </w:r>
            <w:r>
              <w:rPr>
                <w:rFonts w:hint="eastAsia" w:ascii="微软雅黑" w:hAnsi="微软雅黑" w:eastAsia="微软雅黑" w:cs="MS Mincho"/>
                <w:b/>
                <w:sz w:val="18"/>
                <w:szCs w:val="18"/>
              </w:rPr>
              <w:t>视频，帮助学生了解填写“</w:t>
            </w:r>
            <w:r>
              <w:rPr>
                <w:rFonts w:hint="eastAsia" w:ascii="微软雅黑" w:hAnsi="微软雅黑" w:eastAsia="微软雅黑" w:cs="MS Mincho"/>
                <w:b/>
                <w:sz w:val="18"/>
                <w:szCs w:val="18"/>
                <w:lang w:val="en-US" w:eastAsia="zh-CN"/>
              </w:rPr>
              <w:t>增值税及</w:t>
            </w:r>
            <w:r>
              <w:rPr>
                <w:rFonts w:hint="eastAsia" w:ascii="微软雅黑" w:hAnsi="微软雅黑" w:eastAsia="微软雅黑" w:cs="MS Mincho"/>
                <w:b/>
                <w:sz w:val="18"/>
                <w:szCs w:val="18"/>
              </w:rPr>
              <w:t>附加税费情况表”和“消费税</w:t>
            </w:r>
            <w:r>
              <w:rPr>
                <w:rFonts w:hint="eastAsia" w:ascii="微软雅黑" w:hAnsi="微软雅黑" w:eastAsia="微软雅黑" w:cs="MS Mincho"/>
                <w:b/>
                <w:sz w:val="18"/>
                <w:szCs w:val="18"/>
                <w:lang w:val="en-US" w:eastAsia="zh-CN"/>
              </w:rPr>
              <w:t>及</w:t>
            </w:r>
            <w:bookmarkStart w:id="0" w:name="_GoBack"/>
            <w:bookmarkEnd w:id="0"/>
            <w:r>
              <w:rPr>
                <w:rFonts w:hint="eastAsia" w:ascii="微软雅黑" w:hAnsi="微软雅黑" w:eastAsia="微软雅黑" w:cs="MS Mincho"/>
                <w:b/>
                <w:sz w:val="18"/>
                <w:szCs w:val="18"/>
              </w:rPr>
              <w:t>附加税费计算表”的方法</w:t>
            </w:r>
          </w:p>
          <w:p w14:paraId="6F514FA8">
            <w:pPr>
              <w:shd w:val="clear" w:color="auto" w:fill="FDF3ED"/>
              <w:ind w:firstLine="361" w:firstLineChars="200"/>
              <w:rPr>
                <w:rFonts w:hint="eastAsia"/>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5A99B04B">
            <w:pPr>
              <w:spacing w:after="0" w:line="240" w:lineRule="auto"/>
              <w:ind w:firstLine="360" w:firstLineChars="200"/>
              <w:rPr>
                <w:rFonts w:hint="eastAsia" w:ascii="Times New Roman" w:hAnsi="Times New Roman" w:eastAsia="微软雅黑"/>
                <w:sz w:val="18"/>
                <w:lang w:val="en-US" w:eastAsia="zh-CN"/>
              </w:rPr>
            </w:pPr>
          </w:p>
          <w:p w14:paraId="7A1E0347">
            <w:pPr>
              <w:spacing w:after="0" w:line="240" w:lineRule="auto"/>
              <w:ind w:firstLine="360" w:firstLineChars="200"/>
              <w:jc w:val="center"/>
              <w:rPr>
                <w:rFonts w:hint="eastAsia" w:ascii="Times New Roman" w:hAnsi="Times New Roman" w:eastAsia="微软雅黑"/>
                <w:b/>
                <w:sz w:val="18"/>
              </w:rPr>
            </w:pPr>
            <w:r>
              <w:rPr>
                <w:rFonts w:hint="eastAsia" w:ascii="Times New Roman" w:hAnsi="Times New Roman" w:eastAsia="微软雅黑"/>
                <w:b/>
                <w:sz w:val="18"/>
                <w:lang w:val="en-US" w:eastAsia="zh-CN"/>
              </w:rPr>
              <w:t>任务</w:t>
            </w:r>
            <w:r>
              <w:rPr>
                <w:rFonts w:hint="eastAsia" w:ascii="Times New Roman" w:hAnsi="Times New Roman" w:eastAsia="微软雅黑"/>
                <w:b/>
                <w:sz w:val="18"/>
              </w:rPr>
              <w:t>二</w:t>
            </w:r>
            <w:r>
              <w:rPr>
                <w:rFonts w:hint="eastAsia" w:ascii="Times New Roman" w:hAnsi="Times New Roman" w:eastAsia="微软雅黑"/>
                <w:b/>
                <w:sz w:val="18"/>
                <w:lang w:val="en-US" w:eastAsia="zh-CN"/>
              </w:rPr>
              <w:t xml:space="preserve">  </w:t>
            </w:r>
            <w:r>
              <w:rPr>
                <w:rFonts w:hint="eastAsia" w:ascii="Times New Roman" w:hAnsi="Times New Roman" w:eastAsia="微软雅黑"/>
                <w:b/>
                <w:sz w:val="18"/>
              </w:rPr>
              <w:t>教育费附加和地方教育附加</w:t>
            </w:r>
          </w:p>
          <w:p w14:paraId="1D6C0D55">
            <w:pPr>
              <w:spacing w:after="0" w:line="240" w:lineRule="auto"/>
              <w:ind w:firstLine="360" w:firstLineChars="200"/>
              <w:jc w:val="left"/>
              <w:rPr>
                <w:rFonts w:hint="eastAsia" w:ascii="Times New Roman" w:hAnsi="Times New Roman" w:eastAsia="微软雅黑"/>
                <w:b/>
                <w:sz w:val="18"/>
                <w:lang w:val="en-US" w:eastAsia="zh-CN"/>
              </w:rPr>
            </w:pPr>
            <w:r>
              <w:rPr>
                <w:rFonts w:hint="eastAsia" w:ascii="Times New Roman" w:hAnsi="Times New Roman" w:eastAsia="微软雅黑"/>
                <w:b/>
                <w:sz w:val="18"/>
                <w:lang w:val="en-US" w:eastAsia="zh-CN"/>
              </w:rPr>
              <w:t>一、</w:t>
            </w:r>
            <w:r>
              <w:rPr>
                <w:rFonts w:hint="eastAsia" w:ascii="Times New Roman" w:hAnsi="Times New Roman" w:eastAsia="微软雅黑"/>
                <w:b/>
                <w:sz w:val="18"/>
              </w:rPr>
              <w:t>教育费附加和地方教育附加</w:t>
            </w:r>
          </w:p>
          <w:p w14:paraId="2842269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【教师】讲解教育费附加和地方教育附加</w:t>
            </w:r>
          </w:p>
          <w:p w14:paraId="6F88564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教育费附加和地方教育附加是对缴纳增值税、消费税的单位和个人，就其实际缴纳的两税税额为计税依据征收的费用。教育费附加和地方教育附加是国家为了加快教育事业发展，增加教育经费而征收的专用基金。</w:t>
            </w:r>
          </w:p>
          <w:p w14:paraId="5C6D15E5">
            <w:pPr>
              <w:pStyle w:val="4"/>
              <w:shd w:val="clear" w:color="auto" w:fill="FDF3ED"/>
              <w:ind w:firstLine="360" w:firstLineChars="200"/>
              <w:rPr>
                <w:rFonts w:ascii="MS Mincho" w:hAnsi="MS Mincho" w:cs="MS Mincho"/>
                <w:b/>
              </w:rPr>
            </w:pPr>
            <w:r>
              <w:rPr>
                <w:rFonts w:hint="eastAsia"/>
                <w:b/>
              </w:rPr>
              <w:t>【课堂互动】</w:t>
            </w:r>
          </w:p>
          <w:p w14:paraId="35771B0E">
            <w:pPr>
              <w:pStyle w:val="4"/>
              <w:shd w:val="clear" w:color="auto" w:fill="FDF3ED"/>
              <w:ind w:firstLine="360" w:firstLineChars="200"/>
              <w:rPr>
                <w:b/>
              </w:rPr>
            </w:pPr>
            <w:r>
              <w:rPr>
                <w:rFonts w:ascii="MS Mincho" w:hAnsi="MS Mincho" w:cs="MS Mincho"/>
                <w:b/>
              </w:rPr>
              <w:t>✈</w:t>
            </w:r>
            <w:r>
              <w:rPr>
                <w:rFonts w:hint="eastAsia"/>
                <w:b/>
              </w:rPr>
              <w:t>【教师】提出问题</w:t>
            </w:r>
          </w:p>
          <w:p w14:paraId="093B1D1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推进社会主义现代化建设需要高素质的劳动者，需要高质量的职业教育。产教融合、校企合作是职业教育的发展模式，更是培养高技能人才的重要途径。</w:t>
            </w:r>
          </w:p>
          <w:p w14:paraId="7AEBD2C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2022年5月1日起，修订后的职业教育法正式施行。新修订的职业教育法增加了一系列关于企业深度参与职业教育的鼓励性条款，对深度参与产教融合的企业给予金融、财政、土地等支持，落实教育费附加、地方教育附加减免及其他税费优惠。</w:t>
            </w:r>
          </w:p>
          <w:p w14:paraId="0BF0D6F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利好政策的扶持，使得校企合作不断深入。作为一名学生，你对校企合作的模式有什么看法和建议？</w:t>
            </w:r>
          </w:p>
          <w:p w14:paraId="7C64F2AA">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0D125EBB">
            <w:pPr>
              <w:shd w:val="clear" w:color="auto" w:fill="FDF3ED"/>
              <w:spacing w:after="0" w:line="240" w:lineRule="auto"/>
              <w:ind w:firstLine="360" w:firstLineChars="200"/>
              <w:rPr>
                <w:rFonts w:hint="eastAsia" w:ascii="Times New Roman" w:hAnsi="Times New Roman" w:eastAsia="微软雅黑"/>
                <w:b/>
                <w:sz w:val="18"/>
              </w:rPr>
            </w:pPr>
            <w:r>
              <w:rPr>
                <w:rFonts w:ascii="MS Gothic" w:hAnsi="MS Gothic" w:eastAsia="微软雅黑" w:cs="MS Gothic"/>
                <w:b/>
                <w:sz w:val="18"/>
              </w:rPr>
              <w:t>✈</w:t>
            </w:r>
            <w:r>
              <w:rPr>
                <w:rFonts w:hint="eastAsia" w:ascii="Times New Roman" w:hAnsi="Times New Roman" w:eastAsia="微软雅黑"/>
                <w:b/>
                <w:sz w:val="18"/>
              </w:rPr>
              <w:t>【教师】评价并总结学生的回答</w:t>
            </w:r>
          </w:p>
          <w:p w14:paraId="504C13A0">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（一）纳税人</w:t>
            </w:r>
          </w:p>
          <w:p w14:paraId="7CF5582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教育费附加和地方教育附加的纳税人是在中华人民共和国境内缴纳增值税、消费税的单位和个人。</w:t>
            </w:r>
          </w:p>
          <w:p w14:paraId="753EA24C">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（二）征收率</w:t>
            </w:r>
          </w:p>
          <w:p w14:paraId="21E8853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现行教育费附加的征收率为3%，地方教育附加的征收率为2%。</w:t>
            </w:r>
          </w:p>
          <w:p w14:paraId="762DA42B">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（三）税收优惠</w:t>
            </w:r>
          </w:p>
          <w:p w14:paraId="17F4151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（1）对国家重大水利工程建设基金，免征教育费附加。</w:t>
            </w:r>
          </w:p>
          <w:p w14:paraId="4712BF3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（2）自2016年2月1日起，对按月纳税的月销售额不超过10万元，以及按季度纳税的季度销售额不超过30万元的纳税人，免征教育费附加、地方教育附加。</w:t>
            </w:r>
          </w:p>
          <w:p w14:paraId="0CFD7162">
            <w:pPr>
              <w:spacing w:after="0" w:line="240" w:lineRule="auto"/>
              <w:ind w:firstLine="360" w:firstLineChars="200"/>
              <w:rPr>
                <w:rFonts w:hint="eastAsia" w:ascii="微软雅黑" w:hAnsi="微软雅黑" w:eastAsia="微软雅黑"/>
                <w:b/>
                <w:color w:val="833C0B"/>
                <w:sz w:val="18"/>
              </w:rPr>
            </w:pPr>
            <w:r>
              <w:rPr>
                <w:rFonts w:hint="eastAsia" w:ascii="微软雅黑" w:hAnsi="微软雅黑" w:eastAsia="微软雅黑"/>
                <w:b/>
                <w:color w:val="833C0B"/>
                <w:sz w:val="18"/>
              </w:rPr>
              <w:t>【学生】聆听、思考、理解、记录</w:t>
            </w:r>
          </w:p>
          <w:p w14:paraId="5E1C1080">
            <w:pPr>
              <w:pStyle w:val="4"/>
              <w:ind w:firstLine="360" w:firstLineChars="200"/>
              <w:rPr>
                <w:b/>
                <w:lang w:bidi="ar"/>
              </w:rPr>
            </w:pPr>
            <w:r>
              <w:rPr>
                <w:rFonts w:hint="eastAsia"/>
                <w:b/>
                <w:lang w:val="en-US" w:eastAsia="zh-CN" w:bidi="ar"/>
              </w:rPr>
              <w:t>二</w:t>
            </w:r>
            <w:r>
              <w:rPr>
                <w:rFonts w:hint="eastAsia"/>
                <w:b/>
                <w:lang w:bidi="ar"/>
              </w:rPr>
              <w:t>、教育费附加和地方教育附加计算</w:t>
            </w:r>
          </w:p>
          <w:p w14:paraId="6108B1C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【教师】讲解教育费附加和地方教育附加的计税依据和应纳税额的计算</w:t>
            </w:r>
          </w:p>
          <w:p w14:paraId="74E2B5B3">
            <w:pPr>
              <w:pStyle w:val="4"/>
              <w:ind w:firstLine="360" w:firstLineChars="200"/>
              <w:rPr>
                <w:b/>
                <w:lang w:bidi="ar"/>
              </w:rPr>
            </w:pPr>
            <w:r>
              <w:rPr>
                <w:rFonts w:hint="eastAsia"/>
                <w:b/>
                <w:lang w:bidi="ar"/>
              </w:rPr>
              <w:t>（一）计税依据</w:t>
            </w:r>
          </w:p>
          <w:p w14:paraId="26C25492">
            <w:pPr>
              <w:pStyle w:val="4"/>
              <w:ind w:firstLine="360" w:firstLineChars="200"/>
              <w:rPr>
                <w:lang w:bidi="ar"/>
              </w:rPr>
            </w:pPr>
            <w:r>
              <w:rPr>
                <w:rFonts w:hint="eastAsia"/>
                <w:lang w:bidi="ar"/>
              </w:rPr>
              <w:t>教育费附加、地方教育附加的计税依据与城市维护建设税的计税依据一致。</w:t>
            </w:r>
          </w:p>
          <w:p w14:paraId="751774D2">
            <w:pPr>
              <w:pStyle w:val="4"/>
              <w:ind w:firstLine="360" w:firstLineChars="200"/>
              <w:rPr>
                <w:b/>
                <w:lang w:bidi="ar"/>
              </w:rPr>
            </w:pPr>
            <w:r>
              <w:rPr>
                <w:rFonts w:hint="eastAsia"/>
                <w:b/>
                <w:lang w:bidi="ar"/>
              </w:rPr>
              <w:t>（二）应纳税额的计算</w:t>
            </w:r>
          </w:p>
          <w:p w14:paraId="286EEB3B">
            <w:pPr>
              <w:pStyle w:val="4"/>
              <w:ind w:firstLine="360" w:firstLineChars="200"/>
              <w:rPr>
                <w:lang w:bidi="ar"/>
              </w:rPr>
            </w:pPr>
            <w:r>
              <w:rPr>
                <w:rFonts w:hint="eastAsia"/>
                <w:lang w:bidi="ar"/>
              </w:rPr>
              <w:t>教育费附加应纳税额、地方教育附加应纳税额的计算公式如下：</w:t>
            </w:r>
          </w:p>
          <w:p w14:paraId="026629C2">
            <w:pPr>
              <w:pStyle w:val="4"/>
              <w:shd w:val="clear" w:color="auto" w:fill="FDF3ED"/>
              <w:ind w:firstLine="360" w:firstLineChars="200"/>
              <w:jc w:val="center"/>
              <w:rPr>
                <w:b/>
                <w:lang w:bidi="ar"/>
              </w:rPr>
            </w:pPr>
            <w:r>
              <w:rPr>
                <w:rFonts w:hint="eastAsia"/>
                <w:b/>
                <w:lang w:bidi="ar"/>
              </w:rPr>
              <w:t>教育费附加应纳税额=计税依据×征收率（3%）</w:t>
            </w:r>
          </w:p>
          <w:p w14:paraId="40171666">
            <w:pPr>
              <w:pStyle w:val="4"/>
              <w:shd w:val="clear" w:color="auto" w:fill="FDF3ED"/>
              <w:ind w:firstLine="360" w:firstLineChars="200"/>
              <w:jc w:val="center"/>
              <w:rPr>
                <w:b/>
                <w:lang w:bidi="ar"/>
              </w:rPr>
            </w:pPr>
            <w:r>
              <w:rPr>
                <w:rFonts w:hint="eastAsia"/>
                <w:b/>
                <w:lang w:bidi="ar"/>
              </w:rPr>
              <w:t>地方教育附加应纳税额=计税依据×征收率（2%）</w:t>
            </w:r>
          </w:p>
          <w:p w14:paraId="20107A17">
            <w:pPr>
              <w:pStyle w:val="4"/>
              <w:ind w:firstLine="360" w:firstLineChars="200"/>
              <w:rPr>
                <w:b/>
                <w:lang w:bidi="ar"/>
              </w:rPr>
            </w:pPr>
            <w:r>
              <w:rPr>
                <w:rFonts w:hint="eastAsia"/>
                <w:b/>
                <w:lang w:bidi="ar"/>
              </w:rPr>
              <w:t>三、教育费附加和地方教育附加申报</w:t>
            </w:r>
          </w:p>
          <w:p w14:paraId="5E74821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【教师】讲解如何申报教育费附加和地方教育附加</w:t>
            </w:r>
          </w:p>
          <w:p w14:paraId="67448F9B">
            <w:pPr>
              <w:pStyle w:val="4"/>
              <w:ind w:firstLine="360" w:firstLineChars="200"/>
              <w:rPr>
                <w:lang w:bidi="ar"/>
              </w:rPr>
            </w:pPr>
            <w:r>
              <w:rPr>
                <w:rFonts w:hint="eastAsia"/>
                <w:lang w:bidi="ar"/>
              </w:rPr>
              <w:t>教育费附加、地方教育附加的征收管理同城市维护建设税。纳税人应按照税法的有关规定及时办理纳税申报，正确填制《增值税及附加税费申报表附列资料（五）》（附加税费情况表）和《消费税附加税费计算表》。</w:t>
            </w:r>
          </w:p>
          <w:p w14:paraId="129852CF">
            <w:pPr>
              <w:pStyle w:val="4"/>
              <w:ind w:firstLine="180" w:firstLineChars="100"/>
              <w:rPr>
                <w:rFonts w:hint="eastAsia"/>
                <w:lang w:bidi="ar"/>
              </w:rPr>
            </w:pPr>
            <w:r>
              <w:rPr>
                <w:rFonts w:hint="eastAsia" w:ascii="微软雅黑" w:hAnsi="微软雅黑"/>
                <w:b/>
                <w:color w:val="833C0B"/>
              </w:rPr>
              <w:t>【学生】聆听、思考、理解、记录</w:t>
            </w:r>
          </w:p>
          <w:p w14:paraId="163B52C3">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057B0B3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【教师】组织学生扫码观看“填写示例”视频（详见教材），加深学生对所学知识的理解。</w:t>
            </w:r>
          </w:p>
          <w:p w14:paraId="34F9C47A">
            <w:pPr>
              <w:spacing w:after="0" w:line="240" w:lineRule="auto"/>
              <w:ind w:firstLine="361" w:firstLineChars="200"/>
              <w:rPr>
                <w:rFonts w:hint="eastAsia" w:ascii="微软雅黑" w:hAnsi="微软雅黑" w:eastAsia="微软雅黑"/>
                <w:b/>
                <w:color w:val="833C0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tc>
      </w:tr>
      <w:tr w14:paraId="78F9A6D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7554C084">
            <w:pPr>
              <w:pStyle w:val="4"/>
              <w:jc w:val="center"/>
              <w:rPr>
                <w:rFonts w:ascii="微软雅黑" w:hAnsi="微软雅黑"/>
                <w:b/>
              </w:rPr>
            </w:pPr>
            <w:r>
              <w:rPr>
                <w:rFonts w:hint="eastAsia" w:ascii="微软雅黑" w:hAnsi="微软雅黑"/>
                <w:b/>
              </w:rPr>
              <w:t>课堂讨论</w:t>
            </w:r>
          </w:p>
        </w:tc>
        <w:tc>
          <w:tcPr>
            <w:tcW w:w="8347" w:type="dxa"/>
            <w:shd w:val="clear" w:color="auto" w:fill="FFFFFF"/>
            <w:vAlign w:val="center"/>
          </w:tcPr>
          <w:p w14:paraId="4BCFA819">
            <w:pPr>
              <w:pStyle w:val="4"/>
              <w:ind w:firstLine="180" w:firstLineChars="100"/>
              <w:rPr>
                <w:rFonts w:ascii="微软雅黑" w:hAnsi="微软雅黑"/>
                <w:b/>
                <w:color w:val="1F4E79"/>
              </w:rPr>
            </w:pPr>
            <w:r>
              <w:rPr>
                <w:rFonts w:hint="eastAsia" w:ascii="微软雅黑" w:hAnsi="微软雅黑"/>
                <w:b/>
                <w:color w:val="1F4E79"/>
              </w:rPr>
              <w:t>【教师】</w:t>
            </w:r>
            <w:r>
              <w:rPr>
                <w:rFonts w:ascii="微软雅黑" w:hAnsi="微软雅黑"/>
                <w:b/>
                <w:color w:val="1F4E79"/>
              </w:rPr>
              <w:t>组织学生以小组为单位，</w:t>
            </w:r>
            <w:r>
              <w:rPr>
                <w:rFonts w:hint="eastAsia" w:ascii="微软雅黑" w:hAnsi="微软雅黑"/>
                <w:b/>
                <w:color w:val="1F4E79"/>
              </w:rPr>
              <w:t>讨论以下问题：</w:t>
            </w:r>
          </w:p>
          <w:p w14:paraId="7A3B429B">
            <w:pPr>
              <w:pStyle w:val="4"/>
              <w:ind w:firstLine="360" w:firstLineChars="200"/>
            </w:pPr>
            <w:r>
              <w:rPr>
                <w:rFonts w:hint="eastAsia"/>
              </w:rPr>
              <w:t>如何判定城市维护建设税的纳税人与征税范围？</w:t>
            </w:r>
          </w:p>
          <w:p w14:paraId="5711F648">
            <w:pPr>
              <w:pStyle w:val="4"/>
              <w:ind w:left="-168" w:leftChars="-84" w:firstLine="360" w:firstLineChars="200"/>
              <w:rPr>
                <w:rFonts w:ascii="微软雅黑" w:hAnsi="微软雅黑"/>
                <w:b/>
                <w:color w:val="833C0B"/>
              </w:rPr>
            </w:pPr>
            <w:r>
              <w:rPr>
                <w:rFonts w:hint="eastAsia" w:ascii="微软雅黑" w:hAnsi="微软雅黑"/>
                <w:b/>
                <w:color w:val="833C0B"/>
              </w:rPr>
              <w:t>【学生】聆听、思考、讨论，由小组代表上台发表讨论结果</w:t>
            </w:r>
          </w:p>
          <w:p w14:paraId="5F555681">
            <w:pPr>
              <w:pStyle w:val="4"/>
              <w:ind w:firstLine="180" w:firstLineChars="100"/>
            </w:pPr>
            <w:r>
              <w:rPr>
                <w:rFonts w:hint="eastAsia" w:ascii="微软雅黑" w:hAnsi="微软雅黑"/>
                <w:b/>
                <w:color w:val="1F4E79"/>
              </w:rPr>
              <w:t>【教师】评价并总结</w:t>
            </w:r>
            <w:r>
              <w:rPr>
                <w:rFonts w:ascii="微软雅黑" w:hAnsi="微软雅黑"/>
                <w:b/>
                <w:color w:val="1F4E79"/>
              </w:rPr>
              <w:t>学生的回答</w:t>
            </w:r>
          </w:p>
        </w:tc>
      </w:tr>
      <w:tr w14:paraId="49761DC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7147BEEA">
            <w:pPr>
              <w:pStyle w:val="4"/>
              <w:jc w:val="center"/>
              <w:rPr>
                <w:rFonts w:hint="eastAsia" w:ascii="微软雅黑" w:hAnsi="微软雅黑"/>
                <w:b/>
              </w:rPr>
            </w:pPr>
            <w:r>
              <w:rPr>
                <w:rFonts w:hint="eastAsia" w:ascii="微软雅黑" w:hAnsi="微软雅黑"/>
                <w:b/>
              </w:rPr>
              <w:t>课堂实践</w:t>
            </w:r>
          </w:p>
        </w:tc>
        <w:tc>
          <w:tcPr>
            <w:tcW w:w="8347" w:type="dxa"/>
            <w:shd w:val="clear" w:color="auto" w:fill="FFFFFF"/>
            <w:vAlign w:val="center"/>
          </w:tcPr>
          <w:p w14:paraId="4E80481D">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w:t>
            </w:r>
            <w:r>
              <w:rPr>
                <w:rFonts w:ascii="微软雅黑" w:hAnsi="微软雅黑"/>
                <w:b/>
                <w:color w:val="1F4E79"/>
              </w:rPr>
              <w:t>，</w:t>
            </w:r>
            <w:r>
              <w:rPr>
                <w:rFonts w:hint="eastAsia" w:ascii="微软雅黑" w:hAnsi="微软雅黑"/>
                <w:b/>
                <w:color w:val="1F4E79"/>
              </w:rPr>
              <w:t>计算</w:t>
            </w:r>
            <w:r>
              <w:rPr>
                <w:rFonts w:hint="eastAsia" w:ascii="微软雅黑" w:hAnsi="微软雅黑"/>
                <w:b/>
                <w:color w:val="1F4E79"/>
                <w:lang w:val="en-US" w:eastAsia="zh-CN"/>
              </w:rPr>
              <w:t>某</w:t>
            </w:r>
            <w:r>
              <w:rPr>
                <w:rFonts w:hint="eastAsia" w:ascii="微软雅黑" w:hAnsi="微软雅黑"/>
                <w:b/>
                <w:color w:val="1F4E79"/>
              </w:rPr>
              <w:t>公司应缴纳的城市维护建设税税额</w:t>
            </w:r>
            <w:r>
              <w:rPr>
                <w:rFonts w:hint="eastAsia" w:ascii="微软雅黑" w:hAnsi="微软雅黑"/>
                <w:b/>
                <w:color w:val="1F4E79"/>
                <w:lang w:eastAsia="zh-CN"/>
              </w:rPr>
              <w:t>、</w:t>
            </w:r>
            <w:r>
              <w:rPr>
                <w:rFonts w:hint="eastAsia" w:ascii="微软雅黑" w:hAnsi="微软雅黑"/>
                <w:b/>
                <w:color w:val="1F4E79"/>
              </w:rPr>
              <w:t>教育费附加和地方教育附加，并进行</w:t>
            </w:r>
            <w:r>
              <w:rPr>
                <w:rFonts w:hint="eastAsia" w:ascii="微软雅黑" w:hAnsi="微软雅黑"/>
                <w:b/>
                <w:color w:val="1F4E79"/>
                <w:lang w:val="en-US" w:eastAsia="zh-CN"/>
              </w:rPr>
              <w:t>纳税</w:t>
            </w:r>
            <w:r>
              <w:rPr>
                <w:rFonts w:hint="eastAsia" w:ascii="微软雅黑" w:hAnsi="微软雅黑"/>
                <w:b/>
                <w:color w:val="1F4E79"/>
              </w:rPr>
              <w:t>申报</w:t>
            </w:r>
          </w:p>
          <w:p w14:paraId="2F0848A7">
            <w:pPr>
              <w:pStyle w:val="4"/>
              <w:ind w:firstLine="180" w:firstLineChars="1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，由小组代表上台发表计算和</w:t>
            </w:r>
            <w:r>
              <w:rPr>
                <w:rFonts w:ascii="微软雅黑" w:hAnsi="微软雅黑"/>
                <w:b/>
                <w:color w:val="833C0B"/>
              </w:rPr>
              <w:t>申报</w:t>
            </w:r>
            <w:r>
              <w:rPr>
                <w:rFonts w:hint="eastAsia" w:ascii="微软雅黑" w:hAnsi="微软雅黑"/>
                <w:b/>
                <w:color w:val="833C0B"/>
              </w:rPr>
              <w:t>结果</w:t>
            </w:r>
          </w:p>
          <w:p w14:paraId="3517A353">
            <w:pPr>
              <w:pStyle w:val="4"/>
              <w:ind w:firstLine="180" w:firstLineChars="100"/>
              <w:rPr>
                <w:rFonts w:ascii="微软雅黑" w:hAnsi="微软雅黑"/>
                <w:b/>
                <w:color w:val="1F4E79"/>
              </w:rPr>
            </w:pPr>
            <w:r>
              <w:rPr>
                <w:rFonts w:hint="eastAsia" w:ascii="微软雅黑" w:hAnsi="微软雅黑"/>
                <w:b/>
                <w:color w:val="1F4E79"/>
              </w:rPr>
              <w:t>【教师】公布正确答案，并讲解计算和</w:t>
            </w:r>
            <w:r>
              <w:rPr>
                <w:rFonts w:ascii="微软雅黑" w:hAnsi="微软雅黑"/>
                <w:b/>
                <w:color w:val="1F4E79"/>
              </w:rPr>
              <w:t>申报步骤</w:t>
            </w:r>
          </w:p>
          <w:p w14:paraId="13364AAF">
            <w:pPr>
              <w:widowControl w:val="0"/>
              <w:shd w:val="clear" w:color="auto" w:fill="FFFFFF" w:themeFill="background1"/>
              <w:tabs>
                <w:tab w:val="right" w:pos="7193"/>
              </w:tabs>
              <w:spacing w:after="0" w:line="240" w:lineRule="auto"/>
              <w:ind w:firstLine="360" w:firstLineChars="200"/>
              <w:rPr>
                <w:rFonts w:ascii="微软雅黑" w:hAnsi="微软雅黑"/>
                <w:b/>
                <w:kern w:val="2"/>
                <w:sz w:val="18"/>
                <w:szCs w:val="18"/>
                <w:lang w:val="zh-CN" w:eastAsia="zh-CN"/>
              </w:rPr>
            </w:pPr>
            <w:r>
              <w:rPr>
                <w:rFonts w:hint="eastAsia" w:ascii="微软雅黑" w:hAnsi="微软雅黑" w:eastAsia="微软雅黑"/>
                <w:b/>
                <w:kern w:val="2"/>
                <w:sz w:val="18"/>
                <w:szCs w:val="18"/>
                <w:lang w:val="zh-CN"/>
              </w:rPr>
              <w:t>【</w:t>
            </w:r>
            <w:r>
              <w:rPr>
                <w:rFonts w:hint="eastAsia" w:ascii="微软雅黑" w:hAnsi="微软雅黑" w:eastAsia="微软雅黑"/>
                <w:b/>
                <w:kern w:val="2"/>
                <w:sz w:val="18"/>
                <w:szCs w:val="18"/>
                <w:lang w:val="zh-CN" w:eastAsia="zh-CN"/>
              </w:rPr>
              <w:t>步骤</w:t>
            </w:r>
            <w:r>
              <w:rPr>
                <w:rFonts w:hint="eastAsia" w:ascii="微软雅黑" w:hAnsi="微软雅黑" w:eastAsia="微软雅黑"/>
                <w:b/>
                <w:kern w:val="2"/>
                <w:sz w:val="18"/>
                <w:szCs w:val="18"/>
                <w:lang w:val="zh-CN"/>
              </w:rPr>
              <w:t>1</w:t>
            </w:r>
            <w:r>
              <w:rPr>
                <w:rFonts w:hint="eastAsia" w:ascii="微软雅黑" w:hAnsi="微软雅黑" w:eastAsia="微软雅黑"/>
                <w:b/>
                <w:kern w:val="2"/>
                <w:sz w:val="18"/>
                <w:szCs w:val="18"/>
                <w:lang w:val="zh-CN" w:eastAsia="zh-CN"/>
              </w:rPr>
              <w:t>】</w:t>
            </w:r>
            <w:r>
              <w:rPr>
                <w:rFonts w:hint="eastAsia" w:ascii="微软雅黑" w:hAnsi="微软雅黑" w:eastAsia="微软雅黑"/>
                <w:kern w:val="2"/>
                <w:sz w:val="18"/>
                <w:szCs w:val="18"/>
                <w:lang w:eastAsia="zh-CN"/>
              </w:rPr>
              <w:t>计算大利公司应缴纳的教育费附加和地方教育附加。</w:t>
            </w:r>
          </w:p>
          <w:p w14:paraId="21A5C011">
            <w:pPr>
              <w:widowControl w:val="0"/>
              <w:shd w:val="clear" w:color="auto" w:fill="FFFFFF" w:themeFill="background1"/>
              <w:tabs>
                <w:tab w:val="right" w:pos="7560"/>
              </w:tabs>
              <w:spacing w:after="0" w:line="304" w:lineRule="exact"/>
              <w:ind w:firstLine="360" w:firstLineChars="200"/>
              <w:rPr>
                <w:rFonts w:ascii="微软雅黑" w:hAnsi="微软雅黑" w:eastAsia="微软雅黑"/>
                <w:kern w:val="2"/>
                <w:sz w:val="18"/>
                <w:szCs w:val="18"/>
                <w:lang w:eastAsia="zh-CN"/>
              </w:rPr>
            </w:pPr>
            <w:r>
              <w:rPr>
                <w:rFonts w:hint="eastAsia" w:ascii="微软雅黑" w:hAnsi="微软雅黑" w:eastAsia="微软雅黑"/>
                <w:b/>
                <w:bCs w:val="0"/>
                <w:kern w:val="2"/>
                <w:sz w:val="18"/>
                <w:szCs w:val="18"/>
                <w:lang w:val="zh-CN" w:eastAsia="zh-CN"/>
              </w:rPr>
              <w:t>【步骤</w:t>
            </w:r>
            <w:r>
              <w:rPr>
                <w:rFonts w:hint="eastAsia" w:ascii="微软雅黑" w:hAnsi="微软雅黑" w:eastAsia="微软雅黑"/>
                <w:b/>
                <w:bCs w:val="0"/>
                <w:kern w:val="2"/>
                <w:sz w:val="18"/>
                <w:szCs w:val="18"/>
                <w:lang w:val="en-US" w:eastAsia="zh-CN"/>
              </w:rPr>
              <w:t>2</w:t>
            </w:r>
            <w:r>
              <w:rPr>
                <w:rFonts w:hint="eastAsia" w:ascii="微软雅黑" w:hAnsi="微软雅黑" w:eastAsia="微软雅黑"/>
                <w:b/>
                <w:bCs w:val="0"/>
                <w:kern w:val="2"/>
                <w:sz w:val="18"/>
                <w:szCs w:val="18"/>
                <w:lang w:val="zh-CN" w:eastAsia="zh-CN"/>
              </w:rPr>
              <w:t>】</w:t>
            </w:r>
            <w:r>
              <w:rPr>
                <w:rFonts w:hint="eastAsia" w:ascii="微软雅黑" w:hAnsi="微软雅黑" w:eastAsia="微软雅黑"/>
                <w:b w:val="0"/>
                <w:bCs/>
                <w:kern w:val="2"/>
                <w:sz w:val="18"/>
                <w:szCs w:val="18"/>
                <w:lang w:val="zh-CN" w:eastAsia="zh-CN"/>
              </w:rPr>
              <w:t>填写</w:t>
            </w:r>
            <w:r>
              <w:rPr>
                <w:rFonts w:hint="eastAsia" w:ascii="微软雅黑" w:hAnsi="微软雅黑" w:eastAsia="微软雅黑"/>
                <w:kern w:val="2"/>
                <w:sz w:val="18"/>
                <w:szCs w:val="18"/>
                <w:lang w:eastAsia="zh-CN"/>
              </w:rPr>
              <w:t>《增值税及附加税费申报表附列资料（五）》（附加税费情况表）和《消费税附加税费计算表》。</w:t>
            </w:r>
          </w:p>
          <w:p w14:paraId="44DBFEE8">
            <w:pPr>
              <w:pStyle w:val="4"/>
              <w:ind w:left="-168" w:leftChars="-84" w:firstLine="360" w:firstLineChars="200"/>
              <w:rPr>
                <w:rFonts w:hint="eastAsia" w:ascii="微软雅黑" w:hAnsi="微软雅黑"/>
                <w:b/>
                <w:color w:val="833C0B"/>
              </w:rPr>
            </w:pPr>
            <w:r>
              <w:rPr>
                <w:rFonts w:hint="eastAsia" w:ascii="微软雅黑" w:hAnsi="微软雅黑"/>
                <w:b/>
                <w:color w:val="833C0B"/>
              </w:rPr>
              <w:t>【学生】聆听、思考、理解、记录</w:t>
            </w:r>
          </w:p>
        </w:tc>
      </w:tr>
      <w:tr w14:paraId="4E7C6EE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16024291">
            <w:pPr>
              <w:pStyle w:val="4"/>
              <w:jc w:val="center"/>
            </w:pPr>
            <w:r>
              <w:rPr>
                <w:rFonts w:hint="eastAsia" w:ascii="微软雅黑" w:hAnsi="微软雅黑"/>
                <w:b/>
              </w:rPr>
              <w:t>课堂小结</w:t>
            </w:r>
          </w:p>
        </w:tc>
        <w:tc>
          <w:tcPr>
            <w:tcW w:w="8363" w:type="dxa"/>
            <w:gridSpan w:val="2"/>
            <w:shd w:val="clear" w:color="auto" w:fill="FFFFFF"/>
            <w:vAlign w:val="center"/>
          </w:tcPr>
          <w:p w14:paraId="0E093188">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10ACF2C1">
            <w:pPr>
              <w:pStyle w:val="4"/>
              <w:ind w:firstLine="360" w:firstLineChars="200"/>
            </w:pPr>
            <w:r>
              <w:rPr>
                <w:rFonts w:hint="eastAsia"/>
              </w:rPr>
              <w:t>城市维护建设税、教育费附加和地方教育附加的税务规定</w:t>
            </w:r>
          </w:p>
          <w:p w14:paraId="300968DE">
            <w:pPr>
              <w:pStyle w:val="4"/>
              <w:ind w:firstLine="360" w:firstLineChars="200"/>
            </w:pPr>
            <w:r>
              <w:rPr>
                <w:rFonts w:hint="eastAsia"/>
              </w:rPr>
              <w:t>城市维护建设税、教育费附加和地方教育附加应纳税额的计算方法</w:t>
            </w:r>
          </w:p>
          <w:p w14:paraId="58E99E4E">
            <w:pPr>
              <w:pStyle w:val="4"/>
              <w:ind w:firstLine="360" w:firstLineChars="200"/>
            </w:pPr>
            <w:r>
              <w:rPr>
                <w:rFonts w:hint="eastAsia"/>
              </w:rPr>
              <w:t>城市维护建设税、教育费附加和地方教育附加的会计核算</w:t>
            </w:r>
          </w:p>
          <w:p w14:paraId="549F7661">
            <w:pPr>
              <w:pStyle w:val="4"/>
              <w:ind w:firstLine="360" w:firstLineChars="200"/>
            </w:pPr>
            <w:r>
              <w:rPr>
                <w:rFonts w:hint="eastAsia"/>
              </w:rPr>
              <w:t>城市维护建设税、教育费附加和地方教育附加的纳税申报</w:t>
            </w:r>
          </w:p>
          <w:p w14:paraId="55F15CED">
            <w:pPr>
              <w:pStyle w:val="4"/>
              <w:ind w:firstLine="180" w:firstLineChars="100"/>
            </w:pPr>
            <w:r>
              <w:rPr>
                <w:rFonts w:hint="eastAsia" w:ascii="微软雅黑" w:hAnsi="微软雅黑"/>
                <w:b/>
                <w:color w:val="833C0B"/>
              </w:rPr>
              <w:t>【学生】总结回顾知识点</w:t>
            </w:r>
          </w:p>
        </w:tc>
      </w:tr>
      <w:tr w14:paraId="0889019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B0D8444">
            <w:pPr>
              <w:pStyle w:val="4"/>
              <w:jc w:val="center"/>
            </w:pPr>
            <w:r>
              <w:rPr>
                <w:rFonts w:hint="eastAsia" w:ascii="微软雅黑" w:hAnsi="微软雅黑"/>
                <w:b/>
              </w:rPr>
              <w:t>作业布置</w:t>
            </w:r>
          </w:p>
        </w:tc>
        <w:tc>
          <w:tcPr>
            <w:tcW w:w="8363" w:type="dxa"/>
            <w:gridSpan w:val="2"/>
            <w:shd w:val="clear" w:color="auto" w:fill="FFFFFF"/>
            <w:vAlign w:val="center"/>
          </w:tcPr>
          <w:p w14:paraId="7120F40D">
            <w:pPr>
              <w:pStyle w:val="4"/>
              <w:ind w:left="200" w:leftChars="100"/>
              <w:rPr>
                <w:rFonts w:ascii="微软雅黑" w:hAnsi="微软雅黑"/>
                <w:b/>
                <w:color w:val="1F4E79"/>
              </w:rPr>
            </w:pPr>
            <w:r>
              <w:rPr>
                <w:rFonts w:hint="eastAsia" w:ascii="微软雅黑" w:hAnsi="微软雅黑"/>
                <w:b/>
                <w:color w:val="1F4E79"/>
              </w:rPr>
              <w:t>【教师】布置课后作业</w:t>
            </w:r>
          </w:p>
          <w:p w14:paraId="2419D3CD">
            <w:pPr>
              <w:pStyle w:val="4"/>
              <w:ind w:firstLine="360" w:firstLineChars="200"/>
              <w:jc w:val="both"/>
              <w:rPr>
                <w:rFonts w:hint="default" w:eastAsia="微软雅黑"/>
                <w:lang w:val="en-US" w:eastAsia="zh-CN"/>
              </w:rPr>
            </w:pPr>
            <w:r>
              <w:rPr>
                <w:rFonts w:hint="eastAsia"/>
                <w:lang w:val="en-US" w:eastAsia="zh-CN"/>
              </w:rPr>
              <w:t>见配套习题与实训</w:t>
            </w:r>
          </w:p>
          <w:p w14:paraId="5B9FC750">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560FBAD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963CFC7">
            <w:pPr>
              <w:pStyle w:val="4"/>
              <w:jc w:val="center"/>
            </w:pPr>
            <w:r>
              <w:rPr>
                <w:rFonts w:hint="eastAsia" w:ascii="微软雅黑" w:hAnsi="微软雅黑"/>
                <w:b/>
              </w:rPr>
              <w:t>教学反思</w:t>
            </w:r>
          </w:p>
        </w:tc>
        <w:tc>
          <w:tcPr>
            <w:tcW w:w="8363" w:type="dxa"/>
            <w:gridSpan w:val="2"/>
            <w:shd w:val="clear" w:color="auto" w:fill="FFFFFF"/>
            <w:vAlign w:val="center"/>
          </w:tcPr>
          <w:p w14:paraId="1C742DF4">
            <w:pPr>
              <w:pStyle w:val="4"/>
              <w:ind w:firstLine="360" w:firstLineChars="200"/>
            </w:pPr>
          </w:p>
          <w:p w14:paraId="67234C3A">
            <w:pPr>
              <w:pStyle w:val="4"/>
              <w:ind w:firstLine="360" w:firstLineChars="200"/>
            </w:pPr>
          </w:p>
          <w:p w14:paraId="02B8F490">
            <w:pPr>
              <w:pStyle w:val="4"/>
              <w:ind w:firstLine="360" w:firstLineChars="200"/>
            </w:pPr>
          </w:p>
          <w:p w14:paraId="0BD6731B">
            <w:pPr>
              <w:pStyle w:val="4"/>
              <w:ind w:firstLine="360" w:firstLineChars="200"/>
            </w:pPr>
          </w:p>
        </w:tc>
      </w:tr>
    </w:tbl>
    <w:p w14:paraId="7048DAE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12C43"/>
    <w:multiLevelType w:val="singleLevel"/>
    <w:tmpl w:val="E8F12C4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DF0AE1"/>
    <w:rsid w:val="500A4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5975</Words>
  <Characters>6132</Characters>
  <Lines>0</Lines>
  <Paragraphs>0</Paragraphs>
  <TotalTime>44</TotalTime>
  <ScaleCrop>false</ScaleCrop>
  <LinksUpToDate>false</LinksUpToDate>
  <CharactersWithSpaces>6225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2025-03-04T07:27:00Z</dcterms:created>
  <dc:creator>admin</dc:creator>
  <cp:lastModifiedBy>星回°</cp:lastModifiedBy>
  <dcterms:modified xsi:type="dcterms:W3CDTF">2025-03-04T11:42:53Z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DCDAEC0E01B745C5AB52ACD821F08F0C_12</vt:lpwstr>
  </property>
</Properties>
</file>